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CB" w:rsidRPr="00016757" w:rsidRDefault="009913CB" w:rsidP="009913CB">
      <w:pPr>
        <w:jc w:val="center"/>
        <w:rPr>
          <w:b/>
          <w:sz w:val="28"/>
          <w:szCs w:val="28"/>
        </w:rPr>
      </w:pPr>
      <w:r w:rsidRPr="00016757">
        <w:rPr>
          <w:b/>
          <w:sz w:val="28"/>
          <w:szCs w:val="28"/>
        </w:rPr>
        <w:t xml:space="preserve">Időzavarban fogant észrevételek a DSM és </w:t>
      </w:r>
      <w:proofErr w:type="spellStart"/>
      <w:r w:rsidRPr="00016757">
        <w:rPr>
          <w:b/>
          <w:sz w:val="28"/>
          <w:szCs w:val="28"/>
        </w:rPr>
        <w:t>SatCab</w:t>
      </w:r>
      <w:proofErr w:type="spellEnd"/>
      <w:r w:rsidRPr="00016757">
        <w:rPr>
          <w:b/>
          <w:sz w:val="28"/>
          <w:szCs w:val="28"/>
        </w:rPr>
        <w:t xml:space="preserve"> </w:t>
      </w:r>
      <w:r w:rsidR="00683060">
        <w:rPr>
          <w:b/>
          <w:sz w:val="28"/>
          <w:szCs w:val="28"/>
        </w:rPr>
        <w:t>I</w:t>
      </w:r>
      <w:r w:rsidRPr="00016757">
        <w:rPr>
          <w:b/>
          <w:sz w:val="28"/>
          <w:szCs w:val="28"/>
        </w:rPr>
        <w:t xml:space="preserve">rányelvek </w:t>
      </w:r>
    </w:p>
    <w:p w:rsidR="00702B94" w:rsidRPr="00016757" w:rsidRDefault="009913CB" w:rsidP="009913CB">
      <w:pPr>
        <w:jc w:val="center"/>
        <w:rPr>
          <w:b/>
          <w:sz w:val="28"/>
          <w:szCs w:val="28"/>
        </w:rPr>
      </w:pPr>
      <w:proofErr w:type="gramStart"/>
      <w:r w:rsidRPr="00016757">
        <w:rPr>
          <w:b/>
          <w:sz w:val="28"/>
          <w:szCs w:val="28"/>
        </w:rPr>
        <w:t>átültetését</w:t>
      </w:r>
      <w:proofErr w:type="gramEnd"/>
      <w:r w:rsidRPr="00016757">
        <w:rPr>
          <w:b/>
          <w:sz w:val="28"/>
          <w:szCs w:val="28"/>
        </w:rPr>
        <w:t xml:space="preserve"> szolgáló törvénytervezetr</w:t>
      </w:r>
      <w:r w:rsidR="00842F42" w:rsidRPr="00016757">
        <w:rPr>
          <w:b/>
          <w:sz w:val="28"/>
          <w:szCs w:val="28"/>
        </w:rPr>
        <w:t>e</w:t>
      </w:r>
    </w:p>
    <w:p w:rsidR="00016757" w:rsidRDefault="00016757" w:rsidP="009913CB">
      <w:pPr>
        <w:jc w:val="center"/>
        <w:rPr>
          <w:sz w:val="24"/>
          <w:szCs w:val="24"/>
        </w:rPr>
      </w:pPr>
    </w:p>
    <w:p w:rsidR="00016757" w:rsidRDefault="00016757" w:rsidP="009913C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Ficsor J. Mihály</w:t>
      </w:r>
    </w:p>
    <w:p w:rsidR="00016757" w:rsidRDefault="00016757" w:rsidP="009913CB">
      <w:pPr>
        <w:jc w:val="center"/>
        <w:rPr>
          <w:sz w:val="24"/>
          <w:szCs w:val="24"/>
        </w:rPr>
      </w:pPr>
    </w:p>
    <w:p w:rsidR="00016757" w:rsidRDefault="00016757" w:rsidP="0001675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2020. június 8. </w:t>
      </w:r>
    </w:p>
    <w:p w:rsidR="009913CB" w:rsidRDefault="009913CB" w:rsidP="00195B20">
      <w:pPr>
        <w:jc w:val="both"/>
        <w:rPr>
          <w:sz w:val="24"/>
          <w:szCs w:val="24"/>
        </w:rPr>
      </w:pPr>
    </w:p>
    <w:p w:rsidR="009913CB" w:rsidRPr="00390318" w:rsidRDefault="009913CB" w:rsidP="00195B20">
      <w:pPr>
        <w:jc w:val="both"/>
        <w:rPr>
          <w:i/>
          <w:sz w:val="24"/>
          <w:szCs w:val="24"/>
          <w:u w:val="single"/>
        </w:rPr>
      </w:pPr>
      <w:r w:rsidRPr="00390318">
        <w:rPr>
          <w:i/>
          <w:sz w:val="24"/>
          <w:szCs w:val="24"/>
          <w:u w:val="single"/>
        </w:rPr>
        <w:t>Bevezetés</w:t>
      </w:r>
    </w:p>
    <w:p w:rsidR="009913CB" w:rsidRDefault="009913CB" w:rsidP="00195B20">
      <w:pPr>
        <w:jc w:val="both"/>
        <w:rPr>
          <w:sz w:val="24"/>
          <w:szCs w:val="24"/>
        </w:rPr>
      </w:pPr>
    </w:p>
    <w:p w:rsidR="003D1B0B" w:rsidRDefault="00A6253E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913CB">
        <w:rPr>
          <w:sz w:val="24"/>
          <w:szCs w:val="24"/>
        </w:rPr>
        <w:t>Nem, az időzavart nem a törvénytervezet alkotói és az egyeztetetést végzők okozták számomra.</w:t>
      </w:r>
      <w:r w:rsidR="00B211ED">
        <w:rPr>
          <w:sz w:val="24"/>
          <w:szCs w:val="24"/>
        </w:rPr>
        <w:t xml:space="preserve"> Az</w:t>
      </w:r>
      <w:r w:rsidR="009913CB">
        <w:rPr>
          <w:sz w:val="24"/>
          <w:szCs w:val="24"/>
        </w:rPr>
        <w:t xml:space="preserve"> észrevételek</w:t>
      </w:r>
      <w:r w:rsidR="00B211ED">
        <w:rPr>
          <w:sz w:val="24"/>
          <w:szCs w:val="24"/>
        </w:rPr>
        <w:t>re</w:t>
      </w:r>
      <w:r w:rsidR="009913CB">
        <w:rPr>
          <w:sz w:val="24"/>
          <w:szCs w:val="24"/>
        </w:rPr>
        <w:t xml:space="preserve"> </w:t>
      </w:r>
      <w:r w:rsidR="00842F42">
        <w:rPr>
          <w:sz w:val="24"/>
          <w:szCs w:val="24"/>
        </w:rPr>
        <w:t>bőkezűen</w:t>
      </w:r>
      <w:r w:rsidR="009913CB">
        <w:rPr>
          <w:sz w:val="24"/>
          <w:szCs w:val="24"/>
        </w:rPr>
        <w:t xml:space="preserve"> megadott mai határid</w:t>
      </w:r>
      <w:r w:rsidR="00B211ED">
        <w:rPr>
          <w:sz w:val="24"/>
          <w:szCs w:val="24"/>
        </w:rPr>
        <w:t>ő</w:t>
      </w:r>
      <w:r w:rsidR="009913CB">
        <w:rPr>
          <w:sz w:val="24"/>
          <w:szCs w:val="24"/>
        </w:rPr>
        <w:t xml:space="preserve"> – 2020. június 8. – előtt csak két nappal tudtam foglalkozni </w:t>
      </w:r>
      <w:r w:rsidR="00C32DB3">
        <w:rPr>
          <w:sz w:val="24"/>
          <w:szCs w:val="24"/>
        </w:rPr>
        <w:t>a tervezettel</w:t>
      </w:r>
      <w:r w:rsidR="003D1B0B">
        <w:rPr>
          <w:sz w:val="24"/>
          <w:szCs w:val="24"/>
        </w:rPr>
        <w:t>,</w:t>
      </w:r>
      <w:r w:rsidR="009913CB">
        <w:rPr>
          <w:sz w:val="24"/>
          <w:szCs w:val="24"/>
        </w:rPr>
        <w:t xml:space="preserve"> </w:t>
      </w:r>
      <w:r w:rsidR="00B211ED">
        <w:rPr>
          <w:sz w:val="24"/>
          <w:szCs w:val="24"/>
        </w:rPr>
        <w:t xml:space="preserve">s ez </w:t>
      </w:r>
      <w:r w:rsidR="009913CB">
        <w:rPr>
          <w:sz w:val="24"/>
          <w:szCs w:val="24"/>
        </w:rPr>
        <w:t xml:space="preserve">az én hibám. </w:t>
      </w:r>
      <w:r w:rsidR="003D1B0B">
        <w:rPr>
          <w:sz w:val="24"/>
          <w:szCs w:val="24"/>
        </w:rPr>
        <w:t>M</w:t>
      </w:r>
      <w:r w:rsidR="009913CB">
        <w:rPr>
          <w:sz w:val="24"/>
          <w:szCs w:val="24"/>
        </w:rPr>
        <w:t xml:space="preserve">entségem nem is </w:t>
      </w:r>
      <w:r w:rsidR="003D1B0B">
        <w:rPr>
          <w:sz w:val="24"/>
          <w:szCs w:val="24"/>
        </w:rPr>
        <w:t xml:space="preserve">elsősorban </w:t>
      </w:r>
      <w:r w:rsidR="009913CB">
        <w:rPr>
          <w:sz w:val="24"/>
          <w:szCs w:val="24"/>
        </w:rPr>
        <w:t>a royalista vírus által okozott problémákból adódhat, hanem jóval inkább abból a három</w:t>
      </w:r>
      <w:r w:rsidR="00B211ED">
        <w:rPr>
          <w:sz w:val="24"/>
          <w:szCs w:val="24"/>
        </w:rPr>
        <w:t xml:space="preserve"> robusztus</w:t>
      </w:r>
      <w:r w:rsidR="003D1B0B">
        <w:rPr>
          <w:sz w:val="24"/>
          <w:szCs w:val="24"/>
        </w:rPr>
        <w:t xml:space="preserve"> </w:t>
      </w:r>
      <w:r w:rsidR="009913CB">
        <w:rPr>
          <w:sz w:val="24"/>
          <w:szCs w:val="24"/>
        </w:rPr>
        <w:t xml:space="preserve">Damoklész kardból, amely három </w:t>
      </w:r>
      <w:r w:rsidR="003D1B0B">
        <w:rPr>
          <w:sz w:val="24"/>
          <w:szCs w:val="24"/>
        </w:rPr>
        <w:t xml:space="preserve">vaskos </w:t>
      </w:r>
      <w:r w:rsidR="009913CB">
        <w:rPr>
          <w:sz w:val="24"/>
          <w:szCs w:val="24"/>
        </w:rPr>
        <w:t>könyv megírására vonatkozó</w:t>
      </w:r>
      <w:r w:rsidR="003D1B0B">
        <w:rPr>
          <w:sz w:val="24"/>
          <w:szCs w:val="24"/>
        </w:rPr>
        <w:t xml:space="preserve"> határidő lejárta vagy közelisége folytán bökdösi vagy vészesen közelíti </w:t>
      </w:r>
      <w:r w:rsidR="00B211ED">
        <w:rPr>
          <w:sz w:val="24"/>
          <w:szCs w:val="24"/>
        </w:rPr>
        <w:t>a felem búbját</w:t>
      </w:r>
      <w:r w:rsidR="003D1B0B">
        <w:rPr>
          <w:sz w:val="24"/>
          <w:szCs w:val="24"/>
        </w:rPr>
        <w:t xml:space="preserve">, a kiadók gyakori sürgetésével </w:t>
      </w:r>
      <w:r w:rsidR="00C32DB3">
        <w:rPr>
          <w:sz w:val="24"/>
          <w:szCs w:val="24"/>
        </w:rPr>
        <w:t>a háttérben</w:t>
      </w:r>
      <w:r w:rsidR="003D1B0B">
        <w:rPr>
          <w:sz w:val="24"/>
          <w:szCs w:val="24"/>
        </w:rPr>
        <w:t>.</w:t>
      </w:r>
      <w:r w:rsidR="00F1764A">
        <w:rPr>
          <w:sz w:val="24"/>
          <w:szCs w:val="24"/>
        </w:rPr>
        <w:t xml:space="preserve"> </w:t>
      </w:r>
    </w:p>
    <w:p w:rsidR="003D1B0B" w:rsidRDefault="003D1B0B" w:rsidP="00195B20">
      <w:pPr>
        <w:jc w:val="both"/>
        <w:rPr>
          <w:sz w:val="24"/>
          <w:szCs w:val="24"/>
        </w:rPr>
      </w:pPr>
    </w:p>
    <w:p w:rsidR="00A6253E" w:rsidRDefault="00A6253E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D1B0B">
        <w:rPr>
          <w:sz w:val="24"/>
          <w:szCs w:val="24"/>
        </w:rPr>
        <w:t>Erre tekintettel csupán három dolgot kívánok érinteni most</w:t>
      </w:r>
      <w:r w:rsidR="00842F42">
        <w:rPr>
          <w:sz w:val="24"/>
          <w:szCs w:val="24"/>
        </w:rPr>
        <w:t>,</w:t>
      </w:r>
      <w:r w:rsidR="003D1B0B">
        <w:rPr>
          <w:sz w:val="24"/>
          <w:szCs w:val="24"/>
        </w:rPr>
        <w:t xml:space="preserve"> a határidő lejártának a napján. Az </w:t>
      </w:r>
      <w:r w:rsidR="00B211ED">
        <w:rPr>
          <w:sz w:val="24"/>
          <w:szCs w:val="24"/>
        </w:rPr>
        <w:t xml:space="preserve">első </w:t>
      </w:r>
      <w:r w:rsidR="003D1B0B">
        <w:rPr>
          <w:sz w:val="24"/>
          <w:szCs w:val="24"/>
        </w:rPr>
        <w:t xml:space="preserve">a </w:t>
      </w:r>
      <w:proofErr w:type="spellStart"/>
      <w:r w:rsidR="003D1B0B">
        <w:rPr>
          <w:sz w:val="24"/>
          <w:szCs w:val="24"/>
        </w:rPr>
        <w:t>SatCab</w:t>
      </w:r>
      <w:proofErr w:type="spellEnd"/>
      <w:r w:rsidR="003D1B0B">
        <w:rPr>
          <w:sz w:val="24"/>
          <w:szCs w:val="24"/>
        </w:rPr>
        <w:t xml:space="preserve"> Irányel</w:t>
      </w:r>
      <w:r w:rsidR="00C32DB3">
        <w:rPr>
          <w:sz w:val="24"/>
          <w:szCs w:val="24"/>
        </w:rPr>
        <w:t>v</w:t>
      </w:r>
      <w:r w:rsidR="00842F42">
        <w:rPr>
          <w:sz w:val="24"/>
          <w:szCs w:val="24"/>
        </w:rPr>
        <w:t xml:space="preserve"> szerinti, a „közvetlen betáplálásra”</w:t>
      </w:r>
      <w:r w:rsidR="003D1B0B">
        <w:rPr>
          <w:sz w:val="24"/>
          <w:szCs w:val="24"/>
        </w:rPr>
        <w:t xml:space="preserve"> vonatkozó rendelkezé</w:t>
      </w:r>
      <w:r w:rsidR="00842F42">
        <w:rPr>
          <w:sz w:val="24"/>
          <w:szCs w:val="24"/>
        </w:rPr>
        <w:t>seknek</w:t>
      </w:r>
      <w:r w:rsidR="003D1B0B">
        <w:rPr>
          <w:sz w:val="24"/>
          <w:szCs w:val="24"/>
        </w:rPr>
        <w:t xml:space="preserve"> az átültetése, a más</w:t>
      </w:r>
      <w:r w:rsidR="00B211ED">
        <w:rPr>
          <w:sz w:val="24"/>
          <w:szCs w:val="24"/>
        </w:rPr>
        <w:t>odik bizonyos</w:t>
      </w:r>
      <w:r w:rsidR="006626AA">
        <w:rPr>
          <w:sz w:val="24"/>
          <w:szCs w:val="24"/>
        </w:rPr>
        <w:t>,</w:t>
      </w:r>
      <w:r w:rsidR="00B211ED">
        <w:rPr>
          <w:sz w:val="24"/>
          <w:szCs w:val="24"/>
        </w:rPr>
        <w:t xml:space="preserve"> a DSM Irányelv 17. Cikke (4) bekezdésében említett állítólagosan új típusú kivételeknek (sőt még kivételnek sem számító úgy nevezett „felhasználói jogoknak”) a kezelése </w:t>
      </w:r>
      <w:r w:rsidR="003D1B0B">
        <w:rPr>
          <w:sz w:val="24"/>
          <w:szCs w:val="24"/>
        </w:rPr>
        <w:t xml:space="preserve">a </w:t>
      </w:r>
      <w:r w:rsidR="00C32DB3">
        <w:rPr>
          <w:sz w:val="24"/>
          <w:szCs w:val="24"/>
        </w:rPr>
        <w:t>17. Cikk</w:t>
      </w:r>
      <w:r w:rsidR="00B211ED">
        <w:rPr>
          <w:sz w:val="24"/>
          <w:szCs w:val="24"/>
        </w:rPr>
        <w:t>e</w:t>
      </w:r>
      <w:r w:rsidR="00C32DB3">
        <w:rPr>
          <w:sz w:val="24"/>
          <w:szCs w:val="24"/>
        </w:rPr>
        <w:t xml:space="preserve">k </w:t>
      </w:r>
      <w:r w:rsidR="00842F42">
        <w:rPr>
          <w:sz w:val="24"/>
          <w:szCs w:val="24"/>
        </w:rPr>
        <w:t xml:space="preserve">(7) és (9) bekezdése </w:t>
      </w:r>
      <w:r w:rsidR="00B211ED">
        <w:rPr>
          <w:sz w:val="24"/>
          <w:szCs w:val="24"/>
        </w:rPr>
        <w:t>alapján</w:t>
      </w:r>
      <w:r w:rsidR="00C32DB3">
        <w:rPr>
          <w:sz w:val="24"/>
          <w:szCs w:val="24"/>
        </w:rPr>
        <w:t>, a harmadik pedig</w:t>
      </w:r>
      <w:r w:rsidR="00B211ED">
        <w:rPr>
          <w:sz w:val="24"/>
          <w:szCs w:val="24"/>
        </w:rPr>
        <w:t xml:space="preserve"> – a</w:t>
      </w:r>
      <w:r w:rsidR="00C32DB3">
        <w:rPr>
          <w:sz w:val="24"/>
          <w:szCs w:val="24"/>
        </w:rPr>
        <w:t>z utóbbi kérdés</w:t>
      </w:r>
      <w:r w:rsidR="00842F42">
        <w:rPr>
          <w:sz w:val="24"/>
          <w:szCs w:val="24"/>
        </w:rPr>
        <w:t>hez is kapcsolódóan</w:t>
      </w:r>
      <w:r w:rsidR="00B211ED">
        <w:rPr>
          <w:sz w:val="24"/>
          <w:szCs w:val="24"/>
        </w:rPr>
        <w:t xml:space="preserve"> – </w:t>
      </w:r>
      <w:r w:rsidR="00C32DB3">
        <w:rPr>
          <w:sz w:val="24"/>
          <w:szCs w:val="24"/>
        </w:rPr>
        <w:t xml:space="preserve">a paródia és a személyhez fűződő jogok összefüggéseinek a szabályozása.  </w:t>
      </w:r>
    </w:p>
    <w:p w:rsidR="00A6253E" w:rsidRDefault="00A6253E" w:rsidP="00195B20">
      <w:pPr>
        <w:jc w:val="both"/>
        <w:rPr>
          <w:sz w:val="24"/>
          <w:szCs w:val="24"/>
        </w:rPr>
      </w:pPr>
    </w:p>
    <w:p w:rsidR="006626AA" w:rsidRDefault="00A6253E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32DB3">
        <w:rPr>
          <w:sz w:val="24"/>
          <w:szCs w:val="24"/>
        </w:rPr>
        <w:t>Az első k</w:t>
      </w:r>
      <w:r>
        <w:rPr>
          <w:sz w:val="24"/>
          <w:szCs w:val="24"/>
        </w:rPr>
        <w:t xml:space="preserve">ét szabályozási kérdés </w:t>
      </w:r>
      <w:r w:rsidR="00C32DB3">
        <w:rPr>
          <w:sz w:val="24"/>
          <w:szCs w:val="24"/>
        </w:rPr>
        <w:t>vaskosabb</w:t>
      </w:r>
      <w:r w:rsidR="00F1764A">
        <w:rPr>
          <w:sz w:val="24"/>
          <w:szCs w:val="24"/>
        </w:rPr>
        <w:t>nak</w:t>
      </w:r>
      <w:r w:rsidR="00C32DB3">
        <w:rPr>
          <w:sz w:val="24"/>
          <w:szCs w:val="24"/>
        </w:rPr>
        <w:t xml:space="preserve"> és </w:t>
      </w:r>
      <w:r w:rsidR="00F1764A">
        <w:rPr>
          <w:sz w:val="24"/>
          <w:szCs w:val="24"/>
        </w:rPr>
        <w:t xml:space="preserve">jelentősebb </w:t>
      </w:r>
      <w:r w:rsidR="00C32DB3">
        <w:rPr>
          <w:sz w:val="24"/>
          <w:szCs w:val="24"/>
        </w:rPr>
        <w:t>hatású</w:t>
      </w:r>
      <w:r w:rsidR="00F1764A">
        <w:rPr>
          <w:sz w:val="24"/>
          <w:szCs w:val="24"/>
        </w:rPr>
        <w:t>nak látszik</w:t>
      </w:r>
      <w:r w:rsidR="00C32DB3">
        <w:rPr>
          <w:sz w:val="24"/>
          <w:szCs w:val="24"/>
        </w:rPr>
        <w:t xml:space="preserve"> (legalább is, a szerzői jogok tényleges értéke, </w:t>
      </w:r>
      <w:r w:rsidR="00F1764A">
        <w:rPr>
          <w:sz w:val="24"/>
          <w:szCs w:val="24"/>
        </w:rPr>
        <w:t>és különösen a szerzők terhére tátongó „</w:t>
      </w:r>
      <w:proofErr w:type="spellStart"/>
      <w:r w:rsidR="00F1764A">
        <w:rPr>
          <w:sz w:val="24"/>
          <w:szCs w:val="24"/>
        </w:rPr>
        <w:t>value</w:t>
      </w:r>
      <w:proofErr w:type="spellEnd"/>
      <w:r w:rsidR="00F1764A">
        <w:rPr>
          <w:sz w:val="24"/>
          <w:szCs w:val="24"/>
        </w:rPr>
        <w:t xml:space="preserve"> </w:t>
      </w:r>
      <w:proofErr w:type="spellStart"/>
      <w:r w:rsidR="00F1764A">
        <w:rPr>
          <w:sz w:val="24"/>
          <w:szCs w:val="24"/>
        </w:rPr>
        <w:t>gap</w:t>
      </w:r>
      <w:proofErr w:type="spellEnd"/>
      <w:r w:rsidR="00F1764A">
        <w:rPr>
          <w:sz w:val="24"/>
          <w:szCs w:val="24"/>
        </w:rPr>
        <w:t xml:space="preserve">” szűkítése szempontjából), mégis ezekre viszonylag rövid észrevételeket </w:t>
      </w:r>
      <w:r>
        <w:rPr>
          <w:sz w:val="24"/>
          <w:szCs w:val="24"/>
        </w:rPr>
        <w:t xml:space="preserve">kívánok </w:t>
      </w:r>
      <w:r w:rsidR="00F1764A">
        <w:rPr>
          <w:sz w:val="24"/>
          <w:szCs w:val="24"/>
        </w:rPr>
        <w:t>te</w:t>
      </w:r>
      <w:r>
        <w:rPr>
          <w:sz w:val="24"/>
          <w:szCs w:val="24"/>
        </w:rPr>
        <w:t>nni</w:t>
      </w:r>
      <w:r w:rsidR="00F1764A">
        <w:rPr>
          <w:sz w:val="24"/>
          <w:szCs w:val="24"/>
        </w:rPr>
        <w:t xml:space="preserve">. Az elsőre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SatCab</w:t>
      </w:r>
      <w:proofErr w:type="spellEnd"/>
      <w:r>
        <w:rPr>
          <w:sz w:val="24"/>
          <w:szCs w:val="24"/>
        </w:rPr>
        <w:t xml:space="preserve"> Irányelv említett </w:t>
      </w:r>
      <w:r w:rsidR="00F1764A">
        <w:rPr>
          <w:sz w:val="24"/>
          <w:szCs w:val="24"/>
        </w:rPr>
        <w:t>vonatkoz</w:t>
      </w:r>
      <w:r w:rsidR="001A1296">
        <w:rPr>
          <w:sz w:val="24"/>
          <w:szCs w:val="24"/>
        </w:rPr>
        <w:t>á</w:t>
      </w:r>
      <w:r>
        <w:rPr>
          <w:sz w:val="24"/>
          <w:szCs w:val="24"/>
        </w:rPr>
        <w:t xml:space="preserve">sát illetően </w:t>
      </w:r>
      <w:r w:rsidR="00842F42">
        <w:rPr>
          <w:sz w:val="24"/>
          <w:szCs w:val="24"/>
        </w:rPr>
        <w:t xml:space="preserve">elsősorban </w:t>
      </w:r>
      <w:r w:rsidR="00F1764A">
        <w:rPr>
          <w:sz w:val="24"/>
          <w:szCs w:val="24"/>
        </w:rPr>
        <w:t xml:space="preserve">egy, a magyar érdekek (nemcsak szűkebb szerzői jogi, de legalább annyira nyomós kulturális és gazdasági érdekek) szempontjából döntő </w:t>
      </w:r>
      <w:r w:rsidR="00B211ED">
        <w:rPr>
          <w:sz w:val="24"/>
          <w:szCs w:val="24"/>
        </w:rPr>
        <w:t xml:space="preserve">aspektusra </w:t>
      </w:r>
      <w:r w:rsidR="00F1764A">
        <w:rPr>
          <w:sz w:val="24"/>
          <w:szCs w:val="24"/>
        </w:rPr>
        <w:t>kívánok utalni</w:t>
      </w:r>
      <w:r w:rsidR="001A1296">
        <w:rPr>
          <w:sz w:val="24"/>
          <w:szCs w:val="24"/>
        </w:rPr>
        <w:t>. A</w:t>
      </w:r>
      <w:r w:rsidR="00F1764A">
        <w:rPr>
          <w:sz w:val="24"/>
          <w:szCs w:val="24"/>
        </w:rPr>
        <w:t xml:space="preserve"> DSM Irányelv említett rendelkezései</w:t>
      </w:r>
      <w:r w:rsidR="001A1296">
        <w:rPr>
          <w:sz w:val="24"/>
          <w:szCs w:val="24"/>
        </w:rPr>
        <w:t xml:space="preserve">t illetően pedig </w:t>
      </w:r>
      <w:r w:rsidR="00F1764A">
        <w:rPr>
          <w:sz w:val="24"/>
          <w:szCs w:val="24"/>
        </w:rPr>
        <w:t xml:space="preserve">már részletesen kifejtettem álláspontomat </w:t>
      </w:r>
      <w:r w:rsidR="001A1296">
        <w:rPr>
          <w:sz w:val="24"/>
          <w:szCs w:val="24"/>
        </w:rPr>
        <w:t xml:space="preserve">– igaz, angol nyelven – </w:t>
      </w:r>
      <w:r w:rsidR="00F1764A">
        <w:rPr>
          <w:sz w:val="24"/>
          <w:szCs w:val="24"/>
        </w:rPr>
        <w:t>egy</w:t>
      </w:r>
      <w:r w:rsidR="000B2197">
        <w:rPr>
          <w:sz w:val="24"/>
          <w:szCs w:val="24"/>
        </w:rPr>
        <w:t xml:space="preserve">, az ugyanezen a </w:t>
      </w:r>
      <w:proofErr w:type="spellStart"/>
      <w:r w:rsidR="000B2197">
        <w:rPr>
          <w:sz w:val="24"/>
          <w:szCs w:val="24"/>
        </w:rPr>
        <w:t>webhelyen</w:t>
      </w:r>
      <w:proofErr w:type="spellEnd"/>
      <w:r w:rsidR="000B2197">
        <w:rPr>
          <w:sz w:val="24"/>
          <w:szCs w:val="24"/>
        </w:rPr>
        <w:t xml:space="preserve"> </w:t>
      </w:r>
      <w:r w:rsidR="000B2197" w:rsidRPr="000B2197">
        <w:rPr>
          <w:sz w:val="24"/>
          <w:szCs w:val="24"/>
        </w:rPr>
        <w:t>(</w:t>
      </w:r>
      <w:hyperlink r:id="rId9" w:history="1">
        <w:r w:rsidR="000B2197" w:rsidRPr="000B2197">
          <w:rPr>
            <w:rStyle w:val="Hiperhivatkozs"/>
            <w:color w:val="auto"/>
            <w:sz w:val="24"/>
            <w:szCs w:val="24"/>
            <w:u w:val="none"/>
          </w:rPr>
          <w:t>www.copyrightseesaw</w:t>
        </w:r>
      </w:hyperlink>
      <w:r w:rsidR="000B2197" w:rsidRPr="000B2197">
        <w:rPr>
          <w:sz w:val="24"/>
          <w:szCs w:val="24"/>
        </w:rPr>
        <w:t xml:space="preserve">) </w:t>
      </w:r>
      <w:r w:rsidR="000B2197">
        <w:rPr>
          <w:sz w:val="24"/>
          <w:szCs w:val="24"/>
        </w:rPr>
        <w:t>közzétett írásban</w:t>
      </w:r>
      <w:r w:rsidR="001A1296">
        <w:rPr>
          <w:sz w:val="24"/>
          <w:szCs w:val="24"/>
        </w:rPr>
        <w:t>. T</w:t>
      </w:r>
      <w:r w:rsidR="000B2197">
        <w:rPr>
          <w:sz w:val="24"/>
          <w:szCs w:val="24"/>
        </w:rPr>
        <w:t>ovábbá kifejezetten ezzel a témával foglalkozik egy</w:t>
      </w:r>
      <w:r w:rsidR="00B211ED">
        <w:rPr>
          <w:sz w:val="24"/>
          <w:szCs w:val="24"/>
        </w:rPr>
        <w:t>,</w:t>
      </w:r>
      <w:r w:rsidR="000B2197">
        <w:rPr>
          <w:sz w:val="24"/>
          <w:szCs w:val="24"/>
        </w:rPr>
        <w:t xml:space="preserve"> az ALAI Végrehajtó Bizottság által, a kezdeményezésemre létrehozott munkacsoport vélemény</w:t>
      </w:r>
      <w:r w:rsidR="00B211ED">
        <w:rPr>
          <w:sz w:val="24"/>
          <w:szCs w:val="24"/>
        </w:rPr>
        <w:t>e</w:t>
      </w:r>
      <w:r w:rsidR="000B2197">
        <w:rPr>
          <w:sz w:val="24"/>
          <w:szCs w:val="24"/>
        </w:rPr>
        <w:t xml:space="preserve"> is</w:t>
      </w:r>
      <w:r w:rsidR="001A1296">
        <w:rPr>
          <w:sz w:val="24"/>
          <w:szCs w:val="24"/>
        </w:rPr>
        <w:t xml:space="preserve"> (lásd lent)</w:t>
      </w:r>
      <w:r w:rsidR="000B2197">
        <w:rPr>
          <w:sz w:val="24"/>
          <w:szCs w:val="24"/>
        </w:rPr>
        <w:t xml:space="preserve">.  </w:t>
      </w:r>
      <w:r w:rsidR="00F1764A">
        <w:rPr>
          <w:sz w:val="24"/>
          <w:szCs w:val="24"/>
        </w:rPr>
        <w:t xml:space="preserve"> </w:t>
      </w:r>
      <w:bookmarkStart w:id="0" w:name="_GoBack"/>
      <w:bookmarkEnd w:id="0"/>
    </w:p>
    <w:p w:rsidR="00EF7F4F" w:rsidRDefault="00EF7F4F" w:rsidP="00195B20">
      <w:pPr>
        <w:jc w:val="both"/>
        <w:rPr>
          <w:sz w:val="24"/>
          <w:szCs w:val="24"/>
        </w:rPr>
      </w:pPr>
    </w:p>
    <w:p w:rsidR="00EF7F4F" w:rsidRDefault="00EF7F4F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Mielőtt azonban rátérnék ezekre a </w:t>
      </w:r>
      <w:r w:rsidR="00B211ED">
        <w:rPr>
          <w:sz w:val="24"/>
          <w:szCs w:val="24"/>
        </w:rPr>
        <w:t>kérdésekre</w:t>
      </w:r>
      <w:r>
        <w:rPr>
          <w:sz w:val="24"/>
          <w:szCs w:val="24"/>
        </w:rPr>
        <w:t>, szeretném kifejezni az elismerés</w:t>
      </w:r>
      <w:r w:rsidR="001A1296">
        <w:rPr>
          <w:sz w:val="24"/>
          <w:szCs w:val="24"/>
        </w:rPr>
        <w:t>emet</w:t>
      </w:r>
      <w:r>
        <w:rPr>
          <w:sz w:val="24"/>
          <w:szCs w:val="24"/>
        </w:rPr>
        <w:t xml:space="preserve"> a tervezet megalkotóinak a</w:t>
      </w:r>
      <w:r w:rsidR="00B211ED">
        <w:rPr>
          <w:sz w:val="24"/>
          <w:szCs w:val="24"/>
        </w:rPr>
        <w:t xml:space="preserve"> két</w:t>
      </w:r>
      <w:r>
        <w:rPr>
          <w:sz w:val="24"/>
          <w:szCs w:val="24"/>
        </w:rPr>
        <w:t xml:space="preserve"> Irányelv </w:t>
      </w:r>
      <w:r w:rsidR="001A1296">
        <w:rPr>
          <w:sz w:val="24"/>
          <w:szCs w:val="24"/>
        </w:rPr>
        <w:t xml:space="preserve">bonyolult </w:t>
      </w:r>
      <w:r>
        <w:rPr>
          <w:sz w:val="24"/>
          <w:szCs w:val="24"/>
        </w:rPr>
        <w:t>rendelkezéseinek a magas szintű, kiváló törvényelőkészítő munkát tükröző átültetetéséért.</w:t>
      </w:r>
    </w:p>
    <w:p w:rsidR="00EF7F4F" w:rsidRDefault="00EF7F4F" w:rsidP="00195B20">
      <w:pPr>
        <w:jc w:val="both"/>
        <w:rPr>
          <w:sz w:val="24"/>
          <w:szCs w:val="24"/>
        </w:rPr>
      </w:pPr>
    </w:p>
    <w:p w:rsidR="00F34E76" w:rsidRPr="00390318" w:rsidRDefault="000B2197" w:rsidP="00195B20">
      <w:pPr>
        <w:jc w:val="both"/>
        <w:rPr>
          <w:i/>
          <w:sz w:val="24"/>
          <w:szCs w:val="24"/>
          <w:u w:val="single"/>
        </w:rPr>
      </w:pPr>
      <w:r w:rsidRPr="00390318">
        <w:rPr>
          <w:i/>
          <w:sz w:val="24"/>
          <w:szCs w:val="24"/>
          <w:u w:val="single"/>
        </w:rPr>
        <w:t>A „</w:t>
      </w:r>
      <w:r w:rsidR="00EF7F4F" w:rsidRPr="00390318">
        <w:rPr>
          <w:i/>
          <w:sz w:val="24"/>
          <w:szCs w:val="24"/>
          <w:u w:val="single"/>
        </w:rPr>
        <w:t>közvetlen betáplálás</w:t>
      </w:r>
      <w:r w:rsidRPr="00390318">
        <w:rPr>
          <w:i/>
          <w:sz w:val="24"/>
          <w:szCs w:val="24"/>
          <w:u w:val="single"/>
        </w:rPr>
        <w:t xml:space="preserve">” </w:t>
      </w:r>
      <w:r w:rsidR="00390318" w:rsidRPr="00390318">
        <w:rPr>
          <w:i/>
          <w:sz w:val="24"/>
          <w:szCs w:val="24"/>
          <w:u w:val="single"/>
        </w:rPr>
        <w:t>útján er</w:t>
      </w:r>
      <w:r w:rsidR="001A1296">
        <w:rPr>
          <w:i/>
          <w:sz w:val="24"/>
          <w:szCs w:val="24"/>
          <w:u w:val="single"/>
        </w:rPr>
        <w:t>e</w:t>
      </w:r>
      <w:r w:rsidR="00390318" w:rsidRPr="00390318">
        <w:rPr>
          <w:i/>
          <w:sz w:val="24"/>
          <w:szCs w:val="24"/>
          <w:u w:val="single"/>
        </w:rPr>
        <w:t>deztetett</w:t>
      </w:r>
      <w:r w:rsidRPr="00390318">
        <w:rPr>
          <w:i/>
          <w:sz w:val="24"/>
          <w:szCs w:val="24"/>
          <w:u w:val="single"/>
        </w:rPr>
        <w:t xml:space="preserve"> programok </w:t>
      </w:r>
      <w:r w:rsidR="001A1296">
        <w:rPr>
          <w:i/>
          <w:sz w:val="24"/>
          <w:szCs w:val="24"/>
          <w:u w:val="single"/>
        </w:rPr>
        <w:t>nyilvánossághoz közvetítése</w:t>
      </w:r>
      <w:r w:rsidRPr="00390318">
        <w:rPr>
          <w:i/>
          <w:sz w:val="24"/>
          <w:szCs w:val="24"/>
          <w:u w:val="single"/>
        </w:rPr>
        <w:t xml:space="preserve">  </w:t>
      </w:r>
      <w:r w:rsidR="003D1B0B" w:rsidRPr="00390318">
        <w:rPr>
          <w:i/>
          <w:sz w:val="24"/>
          <w:szCs w:val="24"/>
          <w:u w:val="single"/>
        </w:rPr>
        <w:t xml:space="preserve">   </w:t>
      </w:r>
    </w:p>
    <w:p w:rsidR="00F34E76" w:rsidRPr="00390318" w:rsidRDefault="00F34E76" w:rsidP="00195B20">
      <w:pPr>
        <w:jc w:val="both"/>
        <w:rPr>
          <w:i/>
          <w:sz w:val="24"/>
          <w:szCs w:val="24"/>
          <w:u w:val="single"/>
        </w:rPr>
      </w:pPr>
    </w:p>
    <w:p w:rsidR="000B2197" w:rsidRPr="00EF7F4F" w:rsidRDefault="003137BA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F7F4F">
        <w:rPr>
          <w:sz w:val="24"/>
          <w:szCs w:val="24"/>
        </w:rPr>
        <w:t xml:space="preserve">A tervezetben a </w:t>
      </w:r>
      <w:proofErr w:type="spellStart"/>
      <w:r w:rsidR="00EF7F4F">
        <w:rPr>
          <w:sz w:val="24"/>
          <w:szCs w:val="24"/>
        </w:rPr>
        <w:t>SatCab</w:t>
      </w:r>
      <w:proofErr w:type="spellEnd"/>
      <w:r w:rsidR="00EF7F4F">
        <w:rPr>
          <w:sz w:val="24"/>
          <w:szCs w:val="24"/>
        </w:rPr>
        <w:t xml:space="preserve"> Irányelv 2. Cikke 4. pontjának és </w:t>
      </w:r>
      <w:r w:rsidR="001A1296">
        <w:rPr>
          <w:sz w:val="24"/>
          <w:szCs w:val="24"/>
        </w:rPr>
        <w:t>8</w:t>
      </w:r>
      <w:r w:rsidR="00EF7F4F">
        <w:rPr>
          <w:sz w:val="24"/>
          <w:szCs w:val="24"/>
        </w:rPr>
        <w:t>.</w:t>
      </w:r>
      <w:r w:rsidR="001A1296">
        <w:rPr>
          <w:sz w:val="24"/>
          <w:szCs w:val="24"/>
        </w:rPr>
        <w:t xml:space="preserve"> </w:t>
      </w:r>
      <w:r w:rsidR="00EF7F4F">
        <w:rPr>
          <w:sz w:val="24"/>
          <w:szCs w:val="24"/>
        </w:rPr>
        <w:t xml:space="preserve">Cikke (1) bekezdésének való megfelelés végett a következő rendelkezés található. </w:t>
      </w:r>
      <w:r w:rsidR="00F34E76" w:rsidRPr="00EF7F4F">
        <w:rPr>
          <w:sz w:val="24"/>
          <w:szCs w:val="24"/>
        </w:rPr>
        <w:t xml:space="preserve"> </w:t>
      </w:r>
      <w:r w:rsidR="003D1B0B" w:rsidRPr="00EF7F4F">
        <w:rPr>
          <w:sz w:val="24"/>
          <w:szCs w:val="24"/>
        </w:rPr>
        <w:t xml:space="preserve">  </w:t>
      </w:r>
      <w:r w:rsidR="009913CB" w:rsidRPr="00EF7F4F">
        <w:rPr>
          <w:sz w:val="24"/>
          <w:szCs w:val="24"/>
        </w:rPr>
        <w:t xml:space="preserve"> </w:t>
      </w:r>
    </w:p>
    <w:p w:rsidR="00F34E76" w:rsidRDefault="00F34E76" w:rsidP="00195B20">
      <w:pPr>
        <w:jc w:val="both"/>
        <w:rPr>
          <w:sz w:val="24"/>
          <w:szCs w:val="24"/>
          <w:u w:val="single"/>
        </w:rPr>
      </w:pPr>
    </w:p>
    <w:p w:rsidR="00F34E76" w:rsidRPr="00EF7F4F" w:rsidRDefault="00F34E76" w:rsidP="00EF7F4F">
      <w:pPr>
        <w:ind w:left="567"/>
        <w:jc w:val="both"/>
        <w:rPr>
          <w:color w:val="000000"/>
          <w:sz w:val="24"/>
          <w:szCs w:val="24"/>
        </w:rPr>
      </w:pPr>
      <w:proofErr w:type="gramStart"/>
      <w:r w:rsidRPr="00EF7F4F">
        <w:rPr>
          <w:color w:val="000000"/>
          <w:sz w:val="24"/>
          <w:szCs w:val="24"/>
        </w:rPr>
        <w:t xml:space="preserve">(5a) Sugárzás az a felhasználás is, amelyre akként kerül sor, hogy a műsort eredeztető (eredeti) rádió- vagy televízió szervezet műsort hordozó jelei a rádió- vagy televízió </w:t>
      </w:r>
      <w:r w:rsidRPr="00EF7F4F">
        <w:rPr>
          <w:color w:val="000000"/>
          <w:sz w:val="24"/>
          <w:szCs w:val="24"/>
        </w:rPr>
        <w:lastRenderedPageBreak/>
        <w:t>szervezettől különböző szervezet (a továbbiakban: nyilvánosságot elérő szervezet) közreműködésével jutnak el a nyilvánossághoz, (a továbbiakban: közvetlen betáplálás), anélkül, hogy a rádió- vagy televízió szervezet a műsorhordozó jeleket a közvetlen betáplálással egyidejűleg közvetlenül a nyilvánosság számára is közvetítené.</w:t>
      </w:r>
      <w:proofErr w:type="gramEnd"/>
      <w:r w:rsidRPr="00EF7F4F">
        <w:rPr>
          <w:color w:val="000000"/>
          <w:sz w:val="24"/>
          <w:szCs w:val="24"/>
        </w:rPr>
        <w:t xml:space="preserve"> Az ilyen felhasználás egy nyilvánossághoz közvetítésnek minősül. A nyilvánossághoz közvetítésre az eredeti rádió- vagy televízió szervezeten kívül a nyilvánosságot elérő szervezetnek is engedélyt kell szereznie, feltéve, hogy a nyilvánosságot elérő szervezet tevékenysége túllép azon, hogy a felhasználás technikai eszközeit biztosítja.</w:t>
      </w:r>
    </w:p>
    <w:p w:rsidR="00F34E76" w:rsidRDefault="00F34E76" w:rsidP="00195B20">
      <w:pPr>
        <w:jc w:val="both"/>
        <w:rPr>
          <w:sz w:val="24"/>
          <w:szCs w:val="24"/>
          <w:u w:val="single"/>
        </w:rPr>
      </w:pPr>
    </w:p>
    <w:p w:rsidR="000B2197" w:rsidRDefault="003137BA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405E51" w:rsidRPr="00405E51">
        <w:rPr>
          <w:sz w:val="24"/>
          <w:szCs w:val="24"/>
        </w:rPr>
        <w:t>A tervezet</w:t>
      </w:r>
      <w:r w:rsidR="00405E51">
        <w:rPr>
          <w:sz w:val="24"/>
          <w:szCs w:val="24"/>
        </w:rPr>
        <w:t xml:space="preserve"> szövege általában megfelelőnek látszik</w:t>
      </w:r>
      <w:r w:rsidR="00390318">
        <w:rPr>
          <w:sz w:val="24"/>
          <w:szCs w:val="24"/>
        </w:rPr>
        <w:t>, azonban nem tűnik ki elég világosan</w:t>
      </w:r>
      <w:proofErr w:type="gramStart"/>
      <w:r w:rsidR="00B211ED">
        <w:rPr>
          <w:sz w:val="24"/>
          <w:szCs w:val="24"/>
        </w:rPr>
        <w:t>,</w:t>
      </w:r>
      <w:r w:rsidR="00390318">
        <w:rPr>
          <w:sz w:val="24"/>
          <w:szCs w:val="24"/>
        </w:rPr>
        <w:t>,</w:t>
      </w:r>
      <w:proofErr w:type="gramEnd"/>
      <w:r w:rsidR="00390318">
        <w:rPr>
          <w:sz w:val="24"/>
          <w:szCs w:val="24"/>
        </w:rPr>
        <w:t xml:space="preserve"> hogy a felhasználás első része a közvetlen </w:t>
      </w:r>
      <w:r>
        <w:rPr>
          <w:sz w:val="24"/>
          <w:szCs w:val="24"/>
        </w:rPr>
        <w:t>betáplálás</w:t>
      </w:r>
      <w:r w:rsidR="00390318">
        <w:rPr>
          <w:sz w:val="24"/>
          <w:szCs w:val="24"/>
        </w:rPr>
        <w:t xml:space="preserve">. Az utolsó </w:t>
      </w:r>
      <w:r>
        <w:rPr>
          <w:sz w:val="24"/>
          <w:szCs w:val="24"/>
        </w:rPr>
        <w:t xml:space="preserve">a </w:t>
      </w:r>
      <w:r w:rsidR="00390318">
        <w:rPr>
          <w:sz w:val="24"/>
          <w:szCs w:val="24"/>
        </w:rPr>
        <w:t xml:space="preserve">„feltéve, hogy” </w:t>
      </w:r>
      <w:r>
        <w:rPr>
          <w:sz w:val="24"/>
          <w:szCs w:val="24"/>
        </w:rPr>
        <w:t xml:space="preserve">szavakkal kezdődő </w:t>
      </w:r>
      <w:r w:rsidR="00390318">
        <w:rPr>
          <w:sz w:val="24"/>
          <w:szCs w:val="24"/>
        </w:rPr>
        <w:t xml:space="preserve">feltételt </w:t>
      </w:r>
      <w:r w:rsidR="00B211ED">
        <w:rPr>
          <w:sz w:val="24"/>
          <w:szCs w:val="24"/>
        </w:rPr>
        <w:t>viszont</w:t>
      </w:r>
      <w:r w:rsidR="00390318">
        <w:rPr>
          <w:sz w:val="24"/>
          <w:szCs w:val="24"/>
        </w:rPr>
        <w:t xml:space="preserve"> nem tartalmazza a </w:t>
      </w:r>
      <w:proofErr w:type="spellStart"/>
      <w:r w:rsidR="00390318">
        <w:rPr>
          <w:sz w:val="24"/>
          <w:szCs w:val="24"/>
        </w:rPr>
        <w:t>SatCab</w:t>
      </w:r>
      <w:proofErr w:type="spellEnd"/>
      <w:r w:rsidR="00390318">
        <w:rPr>
          <w:sz w:val="24"/>
          <w:szCs w:val="24"/>
        </w:rPr>
        <w:t xml:space="preserve"> Irányelv 8. Cikkének (1) bekezdése. Nincs </w:t>
      </w:r>
      <w:r>
        <w:rPr>
          <w:sz w:val="24"/>
          <w:szCs w:val="24"/>
        </w:rPr>
        <w:t xml:space="preserve">is </w:t>
      </w:r>
      <w:r w:rsidR="00390318">
        <w:rPr>
          <w:sz w:val="24"/>
          <w:szCs w:val="24"/>
        </w:rPr>
        <w:t>rá szükség, miután a</w:t>
      </w:r>
      <w:r w:rsidR="003539A4">
        <w:rPr>
          <w:sz w:val="24"/>
          <w:szCs w:val="24"/>
        </w:rPr>
        <w:t xml:space="preserve"> pusztán technikai beavatkozás (a jelek hatékonyabb vagy/és jobb minőségű közvetítésének a biztosítása) nem része a nyilvánosság számára való közvetítés szerzői jogilag releváns fogalmának. </w:t>
      </w:r>
      <w:r>
        <w:rPr>
          <w:sz w:val="24"/>
          <w:szCs w:val="24"/>
        </w:rPr>
        <w:t xml:space="preserve">Ugyanakkor ennek az irreleváns feltételnek a </w:t>
      </w:r>
      <w:r w:rsidR="00B211ED">
        <w:rPr>
          <w:sz w:val="24"/>
          <w:szCs w:val="24"/>
        </w:rPr>
        <w:t>beillesztése</w:t>
      </w:r>
      <w:r>
        <w:rPr>
          <w:sz w:val="24"/>
          <w:szCs w:val="24"/>
        </w:rPr>
        <w:t>s értelmezési kérdéseket vetne fel</w:t>
      </w:r>
      <w:r w:rsidR="00B211ED">
        <w:rPr>
          <w:sz w:val="24"/>
          <w:szCs w:val="24"/>
        </w:rPr>
        <w:t xml:space="preserve">; és így az a </w:t>
      </w:r>
      <w:r>
        <w:rPr>
          <w:sz w:val="24"/>
          <w:szCs w:val="24"/>
        </w:rPr>
        <w:t xml:space="preserve">jogérvényesítés hatékonyságát ronthatná. </w:t>
      </w:r>
      <w:r w:rsidR="003539A4">
        <w:rPr>
          <w:sz w:val="24"/>
          <w:szCs w:val="24"/>
        </w:rPr>
        <w:t>E</w:t>
      </w:r>
      <w:r w:rsidR="003236B6">
        <w:rPr>
          <w:sz w:val="24"/>
          <w:szCs w:val="24"/>
        </w:rPr>
        <w:t>rre figyelemmel</w:t>
      </w:r>
      <w:r w:rsidR="003539A4">
        <w:rPr>
          <w:sz w:val="24"/>
          <w:szCs w:val="24"/>
        </w:rPr>
        <w:t xml:space="preserve">, a rendelkezést, </w:t>
      </w:r>
      <w:r>
        <w:rPr>
          <w:sz w:val="24"/>
          <w:szCs w:val="24"/>
        </w:rPr>
        <w:t xml:space="preserve">véleményem szerint valahogy </w:t>
      </w:r>
      <w:r w:rsidR="003539A4">
        <w:rPr>
          <w:sz w:val="24"/>
          <w:szCs w:val="24"/>
        </w:rPr>
        <w:t xml:space="preserve">így lenne indokolt módosítani:  </w:t>
      </w:r>
      <w:r w:rsidR="00390318">
        <w:rPr>
          <w:sz w:val="24"/>
          <w:szCs w:val="24"/>
        </w:rPr>
        <w:t xml:space="preserve">     </w:t>
      </w:r>
      <w:r w:rsidR="00405E51">
        <w:rPr>
          <w:sz w:val="24"/>
          <w:szCs w:val="24"/>
        </w:rPr>
        <w:t xml:space="preserve"> </w:t>
      </w:r>
    </w:p>
    <w:p w:rsidR="00390318" w:rsidRPr="003539A4" w:rsidRDefault="00390318" w:rsidP="00195B20">
      <w:pPr>
        <w:jc w:val="both"/>
        <w:rPr>
          <w:sz w:val="24"/>
          <w:szCs w:val="24"/>
        </w:rPr>
      </w:pPr>
    </w:p>
    <w:p w:rsidR="00390318" w:rsidRPr="003539A4" w:rsidRDefault="00390318" w:rsidP="003539A4">
      <w:pPr>
        <w:ind w:left="567"/>
        <w:jc w:val="both"/>
        <w:rPr>
          <w:color w:val="000000"/>
          <w:sz w:val="24"/>
          <w:szCs w:val="24"/>
        </w:rPr>
      </w:pPr>
      <w:proofErr w:type="gramStart"/>
      <w:r w:rsidRPr="003539A4">
        <w:rPr>
          <w:color w:val="000000"/>
          <w:sz w:val="24"/>
          <w:szCs w:val="24"/>
        </w:rPr>
        <w:t>(5a) Sugárzás az a felhasználás is, amelyre akként kerül sor, hogy a műsort eredeztető (eredeti) rádió- vagy televízió szervezet műsort hordozó jeleit a rádió- vagy televízió szervezettől különböző szervezet (a továbbiakban: nyilvánosságot elérő szervezet) teszi hozzáférhetővé a nyilvánosság számára, , akként, hogy a rádió-televízió szervezet csak a nyilvánosságot elérő szervezet számára teszi elérhetővé a műsorhordozó jeleket  anélkül, hogy a rádió- vagy televízió szervezet maga a műsorhordozó jeleket a közvetlen betáplálással egyidejűleg közvetlenül a nyilvánosság számára is közvetítené</w:t>
      </w:r>
      <w:r w:rsidR="003539A4">
        <w:rPr>
          <w:color w:val="000000"/>
          <w:sz w:val="24"/>
          <w:szCs w:val="24"/>
        </w:rPr>
        <w:t xml:space="preserve"> </w:t>
      </w:r>
      <w:r w:rsidR="003539A4" w:rsidRPr="003539A4">
        <w:rPr>
          <w:color w:val="000000"/>
          <w:sz w:val="24"/>
          <w:szCs w:val="24"/>
        </w:rPr>
        <w:t>(a továbbiakban</w:t>
      </w:r>
      <w:proofErr w:type="gramEnd"/>
      <w:r w:rsidR="003539A4" w:rsidRPr="003539A4">
        <w:rPr>
          <w:color w:val="000000"/>
          <w:sz w:val="24"/>
          <w:szCs w:val="24"/>
        </w:rPr>
        <w:t xml:space="preserve">: </w:t>
      </w:r>
      <w:proofErr w:type="gramStart"/>
      <w:r w:rsidR="003539A4" w:rsidRPr="003539A4">
        <w:rPr>
          <w:color w:val="000000"/>
          <w:sz w:val="24"/>
          <w:szCs w:val="24"/>
        </w:rPr>
        <w:t>közvetlen</w:t>
      </w:r>
      <w:proofErr w:type="gramEnd"/>
      <w:r w:rsidR="003539A4" w:rsidRPr="003539A4">
        <w:rPr>
          <w:color w:val="000000"/>
          <w:sz w:val="24"/>
          <w:szCs w:val="24"/>
        </w:rPr>
        <w:t xml:space="preserve"> betáplálás)</w:t>
      </w:r>
      <w:r w:rsidRPr="003539A4">
        <w:rPr>
          <w:color w:val="000000"/>
          <w:sz w:val="24"/>
          <w:szCs w:val="24"/>
        </w:rPr>
        <w:t>. Az ilyen felhasználás egy nyilvánossághoz közvetítésnek minősül. A nyilvánossághoz közvetítésre az eredeti rádió- vagy televízió szervezeten kívül a nyilvánosságot elérő szervezetnek is felhasználási jogot kell szereznie.</w:t>
      </w:r>
    </w:p>
    <w:p w:rsidR="00390318" w:rsidRDefault="00390318" w:rsidP="00390318">
      <w:pPr>
        <w:ind w:firstLine="180"/>
        <w:jc w:val="both"/>
        <w:rPr>
          <w:bCs/>
          <w:i/>
          <w:iCs/>
          <w:color w:val="000000"/>
        </w:rPr>
      </w:pPr>
    </w:p>
    <w:p w:rsidR="003539A4" w:rsidRDefault="003137BA" w:rsidP="003539A4">
      <w:pPr>
        <w:jc w:val="both"/>
        <w:rPr>
          <w:bCs/>
          <w:iCs/>
          <w:color w:val="000000"/>
        </w:rPr>
      </w:pPr>
      <w:r>
        <w:rPr>
          <w:bCs/>
          <w:iCs/>
          <w:color w:val="000000"/>
          <w:sz w:val="24"/>
          <w:szCs w:val="24"/>
        </w:rPr>
        <w:t xml:space="preserve">7. </w:t>
      </w:r>
      <w:r w:rsidR="003539A4" w:rsidRPr="00150707">
        <w:rPr>
          <w:bCs/>
          <w:iCs/>
          <w:color w:val="000000"/>
          <w:sz w:val="24"/>
          <w:szCs w:val="24"/>
        </w:rPr>
        <w:t>Ennél lényegesebb azonban</w:t>
      </w:r>
      <w:r w:rsidR="00150707" w:rsidRPr="00150707">
        <w:rPr>
          <w:bCs/>
          <w:iCs/>
          <w:color w:val="000000"/>
          <w:sz w:val="24"/>
          <w:szCs w:val="24"/>
        </w:rPr>
        <w:t xml:space="preserve"> az</w:t>
      </w:r>
      <w:r w:rsidR="003539A4" w:rsidRPr="00150707">
        <w:rPr>
          <w:bCs/>
          <w:iCs/>
          <w:color w:val="000000"/>
          <w:sz w:val="24"/>
          <w:szCs w:val="24"/>
        </w:rPr>
        <w:t xml:space="preserve">, hogy </w:t>
      </w:r>
      <w:r w:rsidR="00150707" w:rsidRPr="00150707">
        <w:rPr>
          <w:bCs/>
          <w:iCs/>
          <w:color w:val="000000"/>
          <w:sz w:val="24"/>
          <w:szCs w:val="24"/>
        </w:rPr>
        <w:t>az utolsó mondatban szereplő felhasználásnak a nyilvánosságot elérő szervezet részére való jogosításá</w:t>
      </w:r>
      <w:r w:rsidR="003236B6">
        <w:rPr>
          <w:bCs/>
          <w:iCs/>
          <w:color w:val="000000"/>
          <w:sz w:val="24"/>
          <w:szCs w:val="24"/>
        </w:rPr>
        <w:t xml:space="preserve">t illetően </w:t>
      </w:r>
      <w:r w:rsidR="00150707" w:rsidRPr="00150707">
        <w:rPr>
          <w:bCs/>
          <w:iCs/>
          <w:color w:val="000000"/>
          <w:sz w:val="24"/>
          <w:szCs w:val="24"/>
        </w:rPr>
        <w:t>kötelező hatályú közös jogkezelést indokolt rendelni</w:t>
      </w:r>
      <w:r w:rsidR="00B55DAD">
        <w:rPr>
          <w:bCs/>
          <w:iCs/>
          <w:color w:val="000000"/>
          <w:sz w:val="24"/>
          <w:szCs w:val="24"/>
        </w:rPr>
        <w:t>, mind a szerzői jogra, mind a szomszédos jogokra vonatkozóan</w:t>
      </w:r>
      <w:r w:rsidR="00855B78">
        <w:rPr>
          <w:bCs/>
          <w:iCs/>
          <w:color w:val="000000"/>
          <w:sz w:val="24"/>
          <w:szCs w:val="24"/>
        </w:rPr>
        <w:t xml:space="preserve"> (amelyre pl. a 27. Cikknek egy új bekez</w:t>
      </w:r>
      <w:r w:rsidR="00640C67">
        <w:rPr>
          <w:bCs/>
          <w:iCs/>
          <w:color w:val="000000"/>
          <w:sz w:val="24"/>
          <w:szCs w:val="24"/>
        </w:rPr>
        <w:t xml:space="preserve">déssel való kiegészítése </w:t>
      </w:r>
      <w:r w:rsidR="00513E3E">
        <w:rPr>
          <w:bCs/>
          <w:iCs/>
          <w:color w:val="000000"/>
          <w:sz w:val="24"/>
          <w:szCs w:val="24"/>
        </w:rPr>
        <w:t>szolgálhatna</w:t>
      </w:r>
      <w:r w:rsidR="00B55DAD">
        <w:rPr>
          <w:bCs/>
          <w:iCs/>
          <w:color w:val="000000"/>
          <w:sz w:val="24"/>
          <w:szCs w:val="24"/>
        </w:rPr>
        <w:t>)</w:t>
      </w:r>
      <w:r w:rsidR="00150707" w:rsidRPr="00150707">
        <w:rPr>
          <w:bCs/>
          <w:iCs/>
          <w:color w:val="000000"/>
          <w:sz w:val="24"/>
          <w:szCs w:val="24"/>
        </w:rPr>
        <w:t xml:space="preserve">. Az Irányelv </w:t>
      </w:r>
      <w:r w:rsidR="004045F7">
        <w:rPr>
          <w:bCs/>
          <w:iCs/>
          <w:color w:val="000000"/>
          <w:sz w:val="24"/>
          <w:szCs w:val="24"/>
        </w:rPr>
        <w:t xml:space="preserve">8. Cikkének (2) bekezdése </w:t>
      </w:r>
      <w:r w:rsidR="00150707" w:rsidRPr="00150707">
        <w:rPr>
          <w:bCs/>
          <w:iCs/>
          <w:color w:val="000000"/>
          <w:sz w:val="24"/>
          <w:szCs w:val="24"/>
        </w:rPr>
        <w:t>módot ad erre</w:t>
      </w:r>
      <w:r w:rsidR="00B55DAD">
        <w:rPr>
          <w:bCs/>
          <w:iCs/>
          <w:color w:val="000000"/>
          <w:sz w:val="24"/>
          <w:szCs w:val="24"/>
        </w:rPr>
        <w:t>, és s</w:t>
      </w:r>
      <w:r w:rsidR="002C0B7E">
        <w:rPr>
          <w:bCs/>
          <w:iCs/>
          <w:color w:val="000000"/>
          <w:sz w:val="24"/>
          <w:szCs w:val="24"/>
        </w:rPr>
        <w:t>z</w:t>
      </w:r>
      <w:r w:rsidR="008F1C1F">
        <w:rPr>
          <w:bCs/>
          <w:iCs/>
          <w:color w:val="000000"/>
          <w:sz w:val="24"/>
          <w:szCs w:val="24"/>
        </w:rPr>
        <w:t>á</w:t>
      </w:r>
      <w:r w:rsidR="002C0B7E">
        <w:rPr>
          <w:bCs/>
          <w:iCs/>
          <w:color w:val="000000"/>
          <w:sz w:val="24"/>
          <w:szCs w:val="24"/>
        </w:rPr>
        <w:t xml:space="preserve">mos </w:t>
      </w:r>
      <w:r w:rsidR="00B55DAD">
        <w:rPr>
          <w:bCs/>
          <w:iCs/>
          <w:color w:val="000000"/>
          <w:sz w:val="24"/>
          <w:szCs w:val="24"/>
        </w:rPr>
        <w:t xml:space="preserve">nyomós </w:t>
      </w:r>
      <w:r w:rsidR="00D31C98">
        <w:rPr>
          <w:bCs/>
          <w:iCs/>
          <w:color w:val="000000"/>
          <w:sz w:val="24"/>
          <w:szCs w:val="24"/>
        </w:rPr>
        <w:t xml:space="preserve">gyakorlati ok </w:t>
      </w:r>
      <w:r w:rsidR="00B55DAD">
        <w:rPr>
          <w:bCs/>
          <w:iCs/>
          <w:color w:val="000000"/>
          <w:sz w:val="24"/>
          <w:szCs w:val="24"/>
        </w:rPr>
        <w:t xml:space="preserve">szól a „hagyományos” kábeltelevíziós továbbközvetítésre irányadó szabályozás alkalmazásának az ilyen módon való kiterjesztésére. Ennél is döntőbb </w:t>
      </w:r>
      <w:r w:rsidR="003236B6">
        <w:rPr>
          <w:bCs/>
          <w:iCs/>
          <w:color w:val="000000"/>
          <w:sz w:val="24"/>
          <w:szCs w:val="24"/>
        </w:rPr>
        <w:t xml:space="preserve">szempont </w:t>
      </w:r>
      <w:r w:rsidR="00B55DAD">
        <w:rPr>
          <w:bCs/>
          <w:iCs/>
          <w:color w:val="000000"/>
          <w:sz w:val="24"/>
          <w:szCs w:val="24"/>
        </w:rPr>
        <w:t xml:space="preserve">azonban, hogy </w:t>
      </w:r>
      <w:r w:rsidR="00150707" w:rsidRPr="00150707">
        <w:rPr>
          <w:bCs/>
          <w:iCs/>
          <w:color w:val="000000"/>
          <w:sz w:val="24"/>
          <w:szCs w:val="24"/>
        </w:rPr>
        <w:t>a szerzői jogi szabályozáshoz fűződő gazdasági és kulturális politikai érdeke</w:t>
      </w:r>
      <w:r w:rsidR="00B55DAD">
        <w:rPr>
          <w:bCs/>
          <w:iCs/>
          <w:color w:val="000000"/>
          <w:sz w:val="24"/>
          <w:szCs w:val="24"/>
        </w:rPr>
        <w:t>ink</w:t>
      </w:r>
      <w:r w:rsidR="00150707" w:rsidRPr="00150707">
        <w:rPr>
          <w:bCs/>
          <w:iCs/>
          <w:color w:val="000000"/>
          <w:sz w:val="24"/>
          <w:szCs w:val="24"/>
        </w:rPr>
        <w:t xml:space="preserve"> (ideértve a nemzeti identitás és kulturális sokszínűség védelmét is) </w:t>
      </w:r>
      <w:r w:rsidR="00B55DAD">
        <w:rPr>
          <w:bCs/>
          <w:iCs/>
          <w:color w:val="000000"/>
          <w:sz w:val="24"/>
          <w:szCs w:val="24"/>
        </w:rPr>
        <w:t xml:space="preserve">egyértelműen </w:t>
      </w:r>
      <w:r w:rsidR="00150707" w:rsidRPr="00150707">
        <w:rPr>
          <w:bCs/>
          <w:iCs/>
          <w:color w:val="000000"/>
          <w:sz w:val="24"/>
          <w:szCs w:val="24"/>
        </w:rPr>
        <w:t>ennek az opciónak az alkalmazását kívánják</w:t>
      </w:r>
      <w:r w:rsidR="00B55DAD">
        <w:rPr>
          <w:bCs/>
          <w:iCs/>
          <w:color w:val="000000"/>
          <w:sz w:val="24"/>
          <w:szCs w:val="24"/>
        </w:rPr>
        <w:t xml:space="preserve"> (</w:t>
      </w:r>
      <w:r w:rsidR="003236B6">
        <w:rPr>
          <w:bCs/>
          <w:iCs/>
          <w:color w:val="000000"/>
          <w:sz w:val="24"/>
          <w:szCs w:val="24"/>
        </w:rPr>
        <w:t xml:space="preserve">egy </w:t>
      </w:r>
      <w:r w:rsidR="00B55DAD">
        <w:rPr>
          <w:bCs/>
          <w:iCs/>
          <w:color w:val="000000"/>
          <w:sz w:val="24"/>
          <w:szCs w:val="24"/>
        </w:rPr>
        <w:t>eltérő opció választása ugyanis nemcsak a jogérvényesítés szétzilálásával, de a külföldi globális konglomerátumok előnyhöz jutatásá</w:t>
      </w:r>
      <w:r>
        <w:rPr>
          <w:bCs/>
          <w:iCs/>
          <w:color w:val="000000"/>
          <w:sz w:val="24"/>
          <w:szCs w:val="24"/>
        </w:rPr>
        <w:t xml:space="preserve">val és </w:t>
      </w:r>
      <w:r w:rsidR="00B55DAD">
        <w:rPr>
          <w:bCs/>
          <w:iCs/>
          <w:color w:val="000000"/>
          <w:sz w:val="24"/>
          <w:szCs w:val="24"/>
        </w:rPr>
        <w:t>a hazai jogosultak esélyeinek az egyidejű csökkentésével</w:t>
      </w:r>
      <w:r>
        <w:rPr>
          <w:bCs/>
          <w:iCs/>
          <w:color w:val="000000"/>
          <w:sz w:val="24"/>
          <w:szCs w:val="24"/>
        </w:rPr>
        <w:t xml:space="preserve"> járna</w:t>
      </w:r>
      <w:r w:rsidR="00B55DAD">
        <w:rPr>
          <w:bCs/>
          <w:iCs/>
          <w:color w:val="000000"/>
          <w:sz w:val="24"/>
          <w:szCs w:val="24"/>
        </w:rPr>
        <w:t xml:space="preserve">).  </w:t>
      </w:r>
      <w:r w:rsidR="00150707" w:rsidRPr="00150707">
        <w:rPr>
          <w:bCs/>
          <w:iCs/>
          <w:color w:val="000000"/>
        </w:rPr>
        <w:t xml:space="preserve">   </w:t>
      </w:r>
      <w:r w:rsidR="003539A4" w:rsidRPr="00150707">
        <w:rPr>
          <w:bCs/>
          <w:iCs/>
          <w:color w:val="000000"/>
        </w:rPr>
        <w:t xml:space="preserve"> </w:t>
      </w:r>
    </w:p>
    <w:p w:rsidR="004978AC" w:rsidRDefault="004978AC" w:rsidP="003539A4">
      <w:pPr>
        <w:jc w:val="both"/>
        <w:rPr>
          <w:bCs/>
          <w:iCs/>
          <w:color w:val="000000"/>
        </w:rPr>
      </w:pPr>
    </w:p>
    <w:p w:rsidR="000764EB" w:rsidRDefault="000764EB" w:rsidP="00195B20">
      <w:pPr>
        <w:jc w:val="both"/>
        <w:rPr>
          <w:sz w:val="24"/>
          <w:szCs w:val="24"/>
          <w:u w:val="single"/>
        </w:rPr>
      </w:pPr>
    </w:p>
    <w:p w:rsidR="000764EB" w:rsidRDefault="000764EB" w:rsidP="00195B20">
      <w:pPr>
        <w:jc w:val="both"/>
        <w:rPr>
          <w:sz w:val="24"/>
          <w:szCs w:val="24"/>
          <w:u w:val="single"/>
        </w:rPr>
      </w:pPr>
    </w:p>
    <w:p w:rsidR="000764EB" w:rsidRDefault="000764EB" w:rsidP="00195B20">
      <w:pPr>
        <w:jc w:val="both"/>
        <w:rPr>
          <w:sz w:val="24"/>
          <w:szCs w:val="24"/>
          <w:u w:val="single"/>
        </w:rPr>
      </w:pPr>
    </w:p>
    <w:p w:rsidR="00A6253E" w:rsidRPr="002238F1" w:rsidRDefault="000B2197" w:rsidP="00195B20">
      <w:pPr>
        <w:jc w:val="both"/>
        <w:rPr>
          <w:i/>
          <w:sz w:val="24"/>
          <w:szCs w:val="24"/>
          <w:u w:val="single"/>
        </w:rPr>
      </w:pPr>
      <w:r w:rsidRPr="002238F1">
        <w:rPr>
          <w:i/>
          <w:sz w:val="24"/>
          <w:szCs w:val="24"/>
          <w:u w:val="single"/>
        </w:rPr>
        <w:t>A DSM Irányelv 17</w:t>
      </w:r>
      <w:r w:rsidR="00A6253E" w:rsidRPr="002238F1">
        <w:rPr>
          <w:i/>
          <w:sz w:val="24"/>
          <w:szCs w:val="24"/>
          <w:u w:val="single"/>
        </w:rPr>
        <w:t xml:space="preserve">. Cikke </w:t>
      </w:r>
      <w:r w:rsidRPr="002238F1">
        <w:rPr>
          <w:i/>
          <w:sz w:val="24"/>
          <w:szCs w:val="24"/>
          <w:u w:val="single"/>
        </w:rPr>
        <w:t>(</w:t>
      </w:r>
      <w:r w:rsidR="00A6253E" w:rsidRPr="002238F1">
        <w:rPr>
          <w:i/>
          <w:sz w:val="24"/>
          <w:szCs w:val="24"/>
          <w:u w:val="single"/>
        </w:rPr>
        <w:t>7) és (9) bekezdésének az átültetése és alkalmazása</w:t>
      </w:r>
    </w:p>
    <w:p w:rsidR="00B55DAD" w:rsidRPr="002238F1" w:rsidRDefault="00B55DAD" w:rsidP="00195B20">
      <w:pPr>
        <w:jc w:val="both"/>
        <w:rPr>
          <w:i/>
          <w:sz w:val="24"/>
          <w:szCs w:val="24"/>
          <w:u w:val="single"/>
        </w:rPr>
      </w:pPr>
    </w:p>
    <w:p w:rsidR="00047F90" w:rsidRDefault="003137BA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55DAD" w:rsidRPr="00B55DAD">
        <w:rPr>
          <w:sz w:val="24"/>
          <w:szCs w:val="24"/>
        </w:rPr>
        <w:t xml:space="preserve">A DSM </w:t>
      </w:r>
      <w:r w:rsidR="00B55DAD">
        <w:rPr>
          <w:sz w:val="24"/>
          <w:szCs w:val="24"/>
        </w:rPr>
        <w:t xml:space="preserve">Irányelv </w:t>
      </w:r>
      <w:r w:rsidR="008D2B69">
        <w:rPr>
          <w:sz w:val="24"/>
          <w:szCs w:val="24"/>
        </w:rPr>
        <w:t xml:space="preserve">előkészítése során </w:t>
      </w:r>
      <w:r w:rsidR="00B55DAD">
        <w:rPr>
          <w:sz w:val="24"/>
          <w:szCs w:val="24"/>
        </w:rPr>
        <w:t>17. Cikk</w:t>
      </w:r>
      <w:r w:rsidR="00CB0F5E">
        <w:rPr>
          <w:sz w:val="24"/>
          <w:szCs w:val="24"/>
        </w:rPr>
        <w:t>ének az online tartalom</w:t>
      </w:r>
      <w:r w:rsidR="00FE2975">
        <w:rPr>
          <w:sz w:val="24"/>
          <w:szCs w:val="24"/>
        </w:rPr>
        <w:t xml:space="preserve">megosztó </w:t>
      </w:r>
      <w:r w:rsidR="00CB0F5E">
        <w:rPr>
          <w:sz w:val="24"/>
          <w:szCs w:val="24"/>
        </w:rPr>
        <w:t xml:space="preserve">szolgáltatókra vonatkozó rendelkezései </w:t>
      </w:r>
      <w:r w:rsidR="00B55DAD">
        <w:rPr>
          <w:sz w:val="24"/>
          <w:szCs w:val="24"/>
        </w:rPr>
        <w:t>váltott</w:t>
      </w:r>
      <w:r w:rsidR="00CB0F5E">
        <w:rPr>
          <w:sz w:val="24"/>
          <w:szCs w:val="24"/>
        </w:rPr>
        <w:t xml:space="preserve">ák </w:t>
      </w:r>
      <w:r w:rsidR="00B55DAD">
        <w:rPr>
          <w:sz w:val="24"/>
          <w:szCs w:val="24"/>
        </w:rPr>
        <w:t xml:space="preserve">ki </w:t>
      </w:r>
      <w:r w:rsidR="008D2B69">
        <w:rPr>
          <w:sz w:val="24"/>
          <w:szCs w:val="24"/>
        </w:rPr>
        <w:t xml:space="preserve">messzemenően </w:t>
      </w:r>
      <w:r w:rsidR="00B55DAD">
        <w:rPr>
          <w:sz w:val="24"/>
          <w:szCs w:val="24"/>
        </w:rPr>
        <w:t xml:space="preserve">a legnagyobb </w:t>
      </w:r>
      <w:r w:rsidR="00CB0F5E">
        <w:rPr>
          <w:sz w:val="24"/>
          <w:szCs w:val="24"/>
        </w:rPr>
        <w:t>vitát, amelyben főleg az óriás globális tartalom</w:t>
      </w:r>
      <w:r w:rsidR="00FE2975">
        <w:rPr>
          <w:sz w:val="24"/>
          <w:szCs w:val="24"/>
        </w:rPr>
        <w:t>megosztók</w:t>
      </w:r>
      <w:r w:rsidR="00CB0F5E">
        <w:rPr>
          <w:sz w:val="24"/>
          <w:szCs w:val="24"/>
        </w:rPr>
        <w:t xml:space="preserve"> (</w:t>
      </w:r>
      <w:r w:rsidR="008D2B69">
        <w:rPr>
          <w:sz w:val="24"/>
          <w:szCs w:val="24"/>
        </w:rPr>
        <w:t>így</w:t>
      </w:r>
      <w:r w:rsidR="00CB0F5E">
        <w:rPr>
          <w:sz w:val="24"/>
          <w:szCs w:val="24"/>
        </w:rPr>
        <w:t xml:space="preserve"> különösen a </w:t>
      </w:r>
      <w:proofErr w:type="spellStart"/>
      <w:r w:rsidR="00CB0F5E">
        <w:rPr>
          <w:sz w:val="24"/>
          <w:szCs w:val="24"/>
        </w:rPr>
        <w:t>Google</w:t>
      </w:r>
      <w:proofErr w:type="spellEnd"/>
      <w:r w:rsidR="00CB0F5E">
        <w:rPr>
          <w:sz w:val="24"/>
          <w:szCs w:val="24"/>
        </w:rPr>
        <w:t xml:space="preserve">) intenzív lobby tevékenységet </w:t>
      </w:r>
      <w:r w:rsidR="008D2B69">
        <w:rPr>
          <w:sz w:val="24"/>
          <w:szCs w:val="24"/>
        </w:rPr>
        <w:t xml:space="preserve">folytattak – </w:t>
      </w:r>
      <w:r w:rsidR="00CB0F5E">
        <w:rPr>
          <w:sz w:val="24"/>
          <w:szCs w:val="24"/>
        </w:rPr>
        <w:t>hatalmas pénzeszközök felhasználásával</w:t>
      </w:r>
      <w:r w:rsidR="008D2B69">
        <w:rPr>
          <w:sz w:val="24"/>
          <w:szCs w:val="24"/>
        </w:rPr>
        <w:t xml:space="preserve"> – </w:t>
      </w:r>
      <w:r w:rsidR="00CB0F5E">
        <w:rPr>
          <w:sz w:val="24"/>
          <w:szCs w:val="24"/>
        </w:rPr>
        <w:t>a szerzői és szomszédos jogi jogosultak</w:t>
      </w:r>
      <w:r w:rsidR="008D2B69">
        <w:rPr>
          <w:sz w:val="24"/>
          <w:szCs w:val="24"/>
        </w:rPr>
        <w:t xml:space="preserve"> terhére </w:t>
      </w:r>
      <w:r w:rsidR="00CB0F5E">
        <w:rPr>
          <w:sz w:val="24"/>
          <w:szCs w:val="24"/>
        </w:rPr>
        <w:t>az ilyen tartalom</w:t>
      </w:r>
      <w:r w:rsidR="00FE2975">
        <w:rPr>
          <w:sz w:val="24"/>
          <w:szCs w:val="24"/>
        </w:rPr>
        <w:t>megosztók</w:t>
      </w:r>
      <w:r w:rsidR="00CB0F5E">
        <w:rPr>
          <w:sz w:val="24"/>
          <w:szCs w:val="24"/>
        </w:rPr>
        <w:t xml:space="preserve"> tevékenysége révén előáll</w:t>
      </w:r>
      <w:r w:rsidR="008D2B69">
        <w:rPr>
          <w:sz w:val="24"/>
          <w:szCs w:val="24"/>
        </w:rPr>
        <w:t>t</w:t>
      </w:r>
      <w:r w:rsidR="00CB0F5E">
        <w:rPr>
          <w:sz w:val="24"/>
          <w:szCs w:val="24"/>
        </w:rPr>
        <w:t xml:space="preserve"> méretes „</w:t>
      </w:r>
      <w:proofErr w:type="spellStart"/>
      <w:r w:rsidR="00CB0F5E">
        <w:rPr>
          <w:sz w:val="24"/>
          <w:szCs w:val="24"/>
        </w:rPr>
        <w:t>value</w:t>
      </w:r>
      <w:proofErr w:type="spellEnd"/>
      <w:r w:rsidR="00CB0F5E">
        <w:rPr>
          <w:sz w:val="24"/>
          <w:szCs w:val="24"/>
        </w:rPr>
        <w:t xml:space="preserve"> </w:t>
      </w:r>
      <w:proofErr w:type="spellStart"/>
      <w:r w:rsidR="00CB0F5E">
        <w:rPr>
          <w:sz w:val="24"/>
          <w:szCs w:val="24"/>
        </w:rPr>
        <w:t>gap</w:t>
      </w:r>
      <w:proofErr w:type="spellEnd"/>
      <w:r w:rsidR="00CB0F5E">
        <w:rPr>
          <w:sz w:val="24"/>
          <w:szCs w:val="24"/>
        </w:rPr>
        <w:t>” csökkentése iránti igényével szemben</w:t>
      </w:r>
      <w:r w:rsidR="00923E53">
        <w:rPr>
          <w:sz w:val="24"/>
          <w:szCs w:val="24"/>
        </w:rPr>
        <w:t>. A lobby</w:t>
      </w:r>
      <w:r>
        <w:rPr>
          <w:sz w:val="24"/>
          <w:szCs w:val="24"/>
        </w:rPr>
        <w:t>-</w:t>
      </w:r>
      <w:r w:rsidR="00923E53">
        <w:rPr>
          <w:sz w:val="24"/>
          <w:szCs w:val="24"/>
        </w:rPr>
        <w:t>pénzek bőségesen folytak úgy</w:t>
      </w:r>
      <w:r>
        <w:rPr>
          <w:sz w:val="24"/>
          <w:szCs w:val="24"/>
        </w:rPr>
        <w:t xml:space="preserve"> </w:t>
      </w:r>
      <w:r w:rsidR="00923E53">
        <w:rPr>
          <w:sz w:val="24"/>
          <w:szCs w:val="24"/>
        </w:rPr>
        <w:t>nevezet</w:t>
      </w:r>
      <w:r>
        <w:rPr>
          <w:sz w:val="24"/>
          <w:szCs w:val="24"/>
        </w:rPr>
        <w:t>t</w:t>
      </w:r>
      <w:r w:rsidR="00923E53">
        <w:rPr>
          <w:sz w:val="24"/>
          <w:szCs w:val="24"/>
        </w:rPr>
        <w:t xml:space="preserve"> civil szervezetek, </w:t>
      </w:r>
      <w:proofErr w:type="spellStart"/>
      <w:r>
        <w:rPr>
          <w:sz w:val="24"/>
          <w:szCs w:val="24"/>
        </w:rPr>
        <w:t>NGO-k</w:t>
      </w:r>
      <w:proofErr w:type="spellEnd"/>
      <w:r>
        <w:rPr>
          <w:sz w:val="24"/>
          <w:szCs w:val="24"/>
        </w:rPr>
        <w:t xml:space="preserve"> és anarchista </w:t>
      </w:r>
      <w:r w:rsidR="00923E53">
        <w:rPr>
          <w:sz w:val="24"/>
          <w:szCs w:val="24"/>
        </w:rPr>
        <w:t>mozgalmak támogatására, sőt számos kutató intézet és egyetemi oktatói csoportok bő</w:t>
      </w:r>
      <w:r w:rsidR="008D2B69">
        <w:rPr>
          <w:sz w:val="24"/>
          <w:szCs w:val="24"/>
        </w:rPr>
        <w:t>kezű</w:t>
      </w:r>
      <w:r w:rsidR="00923E53">
        <w:rPr>
          <w:sz w:val="24"/>
          <w:szCs w:val="24"/>
        </w:rPr>
        <w:t xml:space="preserve"> „kutatási támogatás” </w:t>
      </w:r>
      <w:r>
        <w:rPr>
          <w:sz w:val="24"/>
          <w:szCs w:val="24"/>
        </w:rPr>
        <w:t xml:space="preserve">révén </w:t>
      </w:r>
      <w:r w:rsidR="00923E53">
        <w:rPr>
          <w:sz w:val="24"/>
          <w:szCs w:val="24"/>
        </w:rPr>
        <w:t>való megnyerésére</w:t>
      </w:r>
      <w:r w:rsidR="008D2B69">
        <w:rPr>
          <w:sz w:val="24"/>
          <w:szCs w:val="24"/>
        </w:rPr>
        <w:t xml:space="preserve"> is</w:t>
      </w:r>
      <w:r w:rsidR="00923E53">
        <w:rPr>
          <w:sz w:val="24"/>
          <w:szCs w:val="24"/>
        </w:rPr>
        <w:t xml:space="preserve">. Politikai szinten pedig hatékony támogatást kaptak </w:t>
      </w:r>
      <w:r w:rsidR="008D2B6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globális szolgáltatók </w:t>
      </w:r>
      <w:r w:rsidR="00A27E2E">
        <w:rPr>
          <w:sz w:val="24"/>
          <w:szCs w:val="24"/>
        </w:rPr>
        <w:t>a zöldmozgalmak valamint a szélsőbaloldali és ultra</w:t>
      </w:r>
      <w:r w:rsidR="008D2B69">
        <w:rPr>
          <w:sz w:val="24"/>
          <w:szCs w:val="24"/>
        </w:rPr>
        <w:t>-</w:t>
      </w:r>
      <w:r w:rsidR="00A27E2E">
        <w:rPr>
          <w:sz w:val="24"/>
          <w:szCs w:val="24"/>
        </w:rPr>
        <w:t>liberális politikai csoportok képviselőitől</w:t>
      </w:r>
      <w:r w:rsidR="00047F90">
        <w:rPr>
          <w:sz w:val="24"/>
          <w:szCs w:val="24"/>
        </w:rPr>
        <w:t xml:space="preserve"> (amely</w:t>
      </w:r>
      <w:r w:rsidR="008D2B69">
        <w:rPr>
          <w:sz w:val="24"/>
          <w:szCs w:val="24"/>
        </w:rPr>
        <w:t>ben</w:t>
      </w:r>
      <w:r w:rsidR="00047F90">
        <w:rPr>
          <w:sz w:val="24"/>
          <w:szCs w:val="24"/>
        </w:rPr>
        <w:t xml:space="preserve"> az emberi jogi fundamentalizmus által </w:t>
      </w:r>
      <w:r w:rsidR="008D2B69">
        <w:rPr>
          <w:sz w:val="24"/>
          <w:szCs w:val="24"/>
        </w:rPr>
        <w:t xml:space="preserve">kialakított </w:t>
      </w:r>
      <w:r w:rsidR="00047F90">
        <w:rPr>
          <w:sz w:val="24"/>
          <w:szCs w:val="24"/>
        </w:rPr>
        <w:t xml:space="preserve">elméletek és jelszavak </w:t>
      </w:r>
      <w:r w:rsidR="008D2B69">
        <w:rPr>
          <w:sz w:val="24"/>
          <w:szCs w:val="24"/>
        </w:rPr>
        <w:t>játszottak döntő szerepet</w:t>
      </w:r>
      <w:r w:rsidR="00047F90">
        <w:rPr>
          <w:sz w:val="24"/>
          <w:szCs w:val="24"/>
        </w:rPr>
        <w:t>)</w:t>
      </w:r>
      <w:r w:rsidR="00A27E2E">
        <w:rPr>
          <w:sz w:val="24"/>
          <w:szCs w:val="24"/>
        </w:rPr>
        <w:t>.</w:t>
      </w:r>
    </w:p>
    <w:p w:rsidR="00047F90" w:rsidRDefault="00047F90" w:rsidP="00195B20">
      <w:pPr>
        <w:jc w:val="both"/>
        <w:rPr>
          <w:sz w:val="24"/>
          <w:szCs w:val="24"/>
        </w:rPr>
      </w:pPr>
    </w:p>
    <w:p w:rsidR="00072FF9" w:rsidRDefault="00047F90" w:rsidP="003E64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A27E2E">
        <w:rPr>
          <w:sz w:val="24"/>
          <w:szCs w:val="24"/>
        </w:rPr>
        <w:t xml:space="preserve"> Az Európai Unió</w:t>
      </w:r>
      <w:r>
        <w:rPr>
          <w:sz w:val="24"/>
          <w:szCs w:val="24"/>
        </w:rPr>
        <w:t>ban a</w:t>
      </w:r>
      <w:r w:rsidR="00A27E2E">
        <w:rPr>
          <w:sz w:val="24"/>
          <w:szCs w:val="24"/>
        </w:rPr>
        <w:t xml:space="preserve"> politikai közép józan képviselőinek a sikere az, hogy végül a 17. Cikket</w:t>
      </w:r>
      <w:r>
        <w:rPr>
          <w:sz w:val="24"/>
          <w:szCs w:val="24"/>
        </w:rPr>
        <w:t xml:space="preserve"> – </w:t>
      </w:r>
      <w:r w:rsidR="00A27E2E">
        <w:rPr>
          <w:sz w:val="24"/>
          <w:szCs w:val="24"/>
        </w:rPr>
        <w:t xml:space="preserve">bár egyes vonatkozásaiban „felvizezett módon” és </w:t>
      </w:r>
      <w:r>
        <w:rPr>
          <w:sz w:val="24"/>
          <w:szCs w:val="24"/>
        </w:rPr>
        <w:t xml:space="preserve">itt-ott </w:t>
      </w:r>
      <w:r w:rsidR="00A27E2E">
        <w:rPr>
          <w:sz w:val="24"/>
          <w:szCs w:val="24"/>
        </w:rPr>
        <w:t>„</w:t>
      </w:r>
      <w:proofErr w:type="spellStart"/>
      <w:r w:rsidR="00A27E2E">
        <w:rPr>
          <w:sz w:val="24"/>
          <w:szCs w:val="24"/>
        </w:rPr>
        <w:t>Google</w:t>
      </w:r>
      <w:proofErr w:type="spellEnd"/>
      <w:r w:rsidR="00A27E2E">
        <w:rPr>
          <w:sz w:val="24"/>
          <w:szCs w:val="24"/>
        </w:rPr>
        <w:t xml:space="preserve"> aknák</w:t>
      </w:r>
      <w:r>
        <w:rPr>
          <w:sz w:val="24"/>
          <w:szCs w:val="24"/>
        </w:rPr>
        <w:t>kal</w:t>
      </w:r>
      <w:r w:rsidR="00A27E2E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– </w:t>
      </w:r>
      <w:r w:rsidR="00A27E2E">
        <w:rPr>
          <w:sz w:val="24"/>
          <w:szCs w:val="24"/>
        </w:rPr>
        <w:t xml:space="preserve">mégis a szerzői és szomszédos jogi jogosultak szempontjából elfogadható tartalommal </w:t>
      </w:r>
      <w:r>
        <w:rPr>
          <w:sz w:val="24"/>
          <w:szCs w:val="24"/>
        </w:rPr>
        <w:t>fogadták el</w:t>
      </w:r>
      <w:r w:rsidR="00A27E2E">
        <w:rPr>
          <w:sz w:val="24"/>
          <w:szCs w:val="24"/>
        </w:rPr>
        <w:t xml:space="preserve">.  </w:t>
      </w:r>
      <w:r w:rsidR="007E0E62">
        <w:rPr>
          <w:sz w:val="24"/>
          <w:szCs w:val="24"/>
        </w:rPr>
        <w:t>Az Irányelv elfogadásával azonban nem értek véget a</w:t>
      </w:r>
      <w:r w:rsidR="00FE2975">
        <w:rPr>
          <w:sz w:val="24"/>
          <w:szCs w:val="24"/>
        </w:rPr>
        <w:t>z online tartalommegosztó szolgáltatók</w:t>
      </w:r>
      <w:r w:rsidR="007E0E62">
        <w:rPr>
          <w:sz w:val="24"/>
          <w:szCs w:val="24"/>
        </w:rPr>
        <w:t xml:space="preserve"> és az alkotók érdekeit védő erők közötti viták</w:t>
      </w:r>
      <w:r w:rsidR="008D2B69">
        <w:rPr>
          <w:sz w:val="24"/>
          <w:szCs w:val="24"/>
        </w:rPr>
        <w:t xml:space="preserve">; ezek </w:t>
      </w:r>
      <w:r w:rsidR="007E0E62">
        <w:rPr>
          <w:sz w:val="24"/>
          <w:szCs w:val="24"/>
        </w:rPr>
        <w:t>most már a 17. Cikk rendelkezéseinek értelmezés</w:t>
      </w:r>
      <w:r w:rsidR="008D2B69">
        <w:rPr>
          <w:sz w:val="24"/>
          <w:szCs w:val="24"/>
        </w:rPr>
        <w:t>e</w:t>
      </w:r>
      <w:r w:rsidR="007E0E62">
        <w:rPr>
          <w:sz w:val="24"/>
          <w:szCs w:val="24"/>
        </w:rPr>
        <w:t xml:space="preserve"> és alkalmazás</w:t>
      </w:r>
      <w:r w:rsidR="008D2B69">
        <w:rPr>
          <w:sz w:val="24"/>
          <w:szCs w:val="24"/>
        </w:rPr>
        <w:t>a körül folynak</w:t>
      </w:r>
      <w:r w:rsidR="007E0E62">
        <w:rPr>
          <w:sz w:val="24"/>
          <w:szCs w:val="24"/>
        </w:rPr>
        <w:t xml:space="preserve">. Komoly erők mozdultak meg annak elérésére, hogy a </w:t>
      </w:r>
      <w:proofErr w:type="spellStart"/>
      <w:r w:rsidR="007E0E62"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</w:t>
      </w:r>
      <w:r w:rsidR="007E0E62">
        <w:rPr>
          <w:sz w:val="24"/>
          <w:szCs w:val="24"/>
        </w:rPr>
        <w:t>t</w:t>
      </w:r>
      <w:r>
        <w:rPr>
          <w:sz w:val="24"/>
          <w:szCs w:val="24"/>
        </w:rPr>
        <w:t>í</w:t>
      </w:r>
      <w:r w:rsidR="007E0E62">
        <w:rPr>
          <w:sz w:val="24"/>
          <w:szCs w:val="24"/>
        </w:rPr>
        <w:t>pusú szolgáltatók</w:t>
      </w:r>
      <w:r w:rsidR="000856F2">
        <w:rPr>
          <w:sz w:val="24"/>
          <w:szCs w:val="24"/>
        </w:rPr>
        <w:t xml:space="preserve">, legalább is a Cikk (7) bekezdésében említett kivételek esetleges alkalmazhatóságára tekintettel, az Irányelv rendelkezései ellenére, </w:t>
      </w:r>
      <w:r w:rsidR="007E0E62">
        <w:rPr>
          <w:sz w:val="24"/>
          <w:szCs w:val="24"/>
        </w:rPr>
        <w:t xml:space="preserve">mégse legyenek kötelesek eltávolítani vagy blokkolni a jogosultak által jogsértőként megjelölt tartalmakat </w:t>
      </w:r>
      <w:r w:rsidR="000856F2">
        <w:rPr>
          <w:sz w:val="24"/>
          <w:szCs w:val="24"/>
        </w:rPr>
        <w:t>(ami a klikkelések számának és az azzal járó hirdetési bevételek fenntartásával a tartalom</w:t>
      </w:r>
      <w:r w:rsidR="00FE2975">
        <w:rPr>
          <w:sz w:val="24"/>
          <w:szCs w:val="24"/>
        </w:rPr>
        <w:t>megosztók</w:t>
      </w:r>
      <w:r w:rsidR="000856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alapvető </w:t>
      </w:r>
      <w:r w:rsidR="000856F2">
        <w:rPr>
          <w:sz w:val="24"/>
          <w:szCs w:val="24"/>
        </w:rPr>
        <w:t>érdeke)</w:t>
      </w:r>
      <w:r w:rsidR="00A47112">
        <w:rPr>
          <w:sz w:val="24"/>
          <w:szCs w:val="24"/>
        </w:rPr>
        <w:t xml:space="preserve">. Ehelyett </w:t>
      </w:r>
      <w:r w:rsidR="000856F2">
        <w:rPr>
          <w:sz w:val="24"/>
          <w:szCs w:val="24"/>
        </w:rPr>
        <w:t xml:space="preserve">jöjjön létre </w:t>
      </w:r>
      <w:r w:rsidR="00C126BE">
        <w:rPr>
          <w:sz w:val="24"/>
          <w:szCs w:val="24"/>
        </w:rPr>
        <w:t xml:space="preserve">egy, </w:t>
      </w:r>
      <w:r w:rsidR="000856F2">
        <w:rPr>
          <w:sz w:val="24"/>
          <w:szCs w:val="24"/>
        </w:rPr>
        <w:t xml:space="preserve">az Irányelvből semmilyen módon nem következő előzetes eljárás a </w:t>
      </w:r>
      <w:r w:rsidR="00FE2975">
        <w:rPr>
          <w:sz w:val="24"/>
          <w:szCs w:val="24"/>
        </w:rPr>
        <w:t xml:space="preserve">tartalommegosztók </w:t>
      </w:r>
      <w:r w:rsidR="000856F2">
        <w:rPr>
          <w:sz w:val="24"/>
          <w:szCs w:val="24"/>
        </w:rPr>
        <w:t>és felhasználóik ellenőrzése alatt</w:t>
      </w:r>
      <w:r w:rsidR="00C126BE">
        <w:rPr>
          <w:sz w:val="24"/>
          <w:szCs w:val="24"/>
        </w:rPr>
        <w:t xml:space="preserve">.  Az előzetes eljárás beiktatásával nem állna fel a </w:t>
      </w:r>
      <w:r w:rsidR="000856F2">
        <w:rPr>
          <w:sz w:val="24"/>
          <w:szCs w:val="24"/>
        </w:rPr>
        <w:t>jogosultak által jogsértőként megjelölt tartalmak</w:t>
      </w:r>
      <w:r>
        <w:rPr>
          <w:sz w:val="24"/>
          <w:szCs w:val="24"/>
        </w:rPr>
        <w:t xml:space="preserve"> eltávolításának vagy blokkolásának</w:t>
      </w:r>
      <w:r w:rsidR="000856F2">
        <w:rPr>
          <w:sz w:val="24"/>
          <w:szCs w:val="24"/>
        </w:rPr>
        <w:t xml:space="preserve"> a 17. Cikk (</w:t>
      </w:r>
      <w:r w:rsidR="00A47112">
        <w:rPr>
          <w:sz w:val="24"/>
          <w:szCs w:val="24"/>
        </w:rPr>
        <w:t>4</w:t>
      </w:r>
      <w:r w:rsidR="000856F2">
        <w:rPr>
          <w:sz w:val="24"/>
          <w:szCs w:val="24"/>
        </w:rPr>
        <w:t>) bekezdésében foglalt kötelezettség</w:t>
      </w:r>
      <w:r w:rsidR="00C126BE">
        <w:rPr>
          <w:sz w:val="24"/>
          <w:szCs w:val="24"/>
        </w:rPr>
        <w:t xml:space="preserve">e; csupán </w:t>
      </w:r>
      <w:r w:rsidR="00A47112">
        <w:rPr>
          <w:sz w:val="24"/>
          <w:szCs w:val="24"/>
        </w:rPr>
        <w:t xml:space="preserve">úgy </w:t>
      </w:r>
      <w:r w:rsidR="00C126BE">
        <w:rPr>
          <w:sz w:val="24"/>
          <w:szCs w:val="24"/>
        </w:rPr>
        <w:t xml:space="preserve">kerülhetne sor az inkriminált tartalom </w:t>
      </w:r>
      <w:r w:rsidR="00A47112">
        <w:rPr>
          <w:sz w:val="24"/>
          <w:szCs w:val="24"/>
        </w:rPr>
        <w:t>eltávolításá</w:t>
      </w:r>
      <w:r w:rsidR="00C126BE">
        <w:rPr>
          <w:sz w:val="24"/>
          <w:szCs w:val="24"/>
        </w:rPr>
        <w:t>ra</w:t>
      </w:r>
      <w:r w:rsidR="00A47112">
        <w:rPr>
          <w:sz w:val="24"/>
          <w:szCs w:val="24"/>
        </w:rPr>
        <w:t xml:space="preserve"> vagy blokkolásá</w:t>
      </w:r>
      <w:r w:rsidR="00C126BE">
        <w:rPr>
          <w:sz w:val="24"/>
          <w:szCs w:val="24"/>
        </w:rPr>
        <w:t>ra</w:t>
      </w:r>
      <w:r w:rsidR="00A47112">
        <w:rPr>
          <w:sz w:val="24"/>
          <w:szCs w:val="24"/>
        </w:rPr>
        <w:t xml:space="preserve"> (elegendő hosszú idő elteltével ahhoz, hogy az online hozzáférhetőség fenntartásával, az Internet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virális</w:t>
      </w:r>
      <w:proofErr w:type="spellEnd"/>
      <w:r>
        <w:rPr>
          <w:sz w:val="24"/>
          <w:szCs w:val="24"/>
        </w:rPr>
        <w:t>” hatás</w:t>
      </w:r>
      <w:r w:rsidR="00C126BE">
        <w:rPr>
          <w:sz w:val="24"/>
          <w:szCs w:val="24"/>
        </w:rPr>
        <w:t>a időközben érvényesülhessen és a tartalom a néhány milliárdos internet-populáció számára felhasználható legyen), ha erre a</w:t>
      </w:r>
      <w:r w:rsidR="00FE2975">
        <w:rPr>
          <w:sz w:val="24"/>
          <w:szCs w:val="24"/>
        </w:rPr>
        <w:t>z online</w:t>
      </w:r>
      <w:r w:rsidR="00C126BE">
        <w:rPr>
          <w:sz w:val="24"/>
          <w:szCs w:val="24"/>
        </w:rPr>
        <w:t xml:space="preserve"> </w:t>
      </w:r>
      <w:r w:rsidR="00FE2975">
        <w:rPr>
          <w:sz w:val="24"/>
          <w:szCs w:val="24"/>
        </w:rPr>
        <w:t>tartalommegosztó</w:t>
      </w:r>
      <w:r w:rsidR="00C126BE">
        <w:rPr>
          <w:sz w:val="24"/>
          <w:szCs w:val="24"/>
        </w:rPr>
        <w:t xml:space="preserve"> </w:t>
      </w:r>
      <w:r w:rsidR="008D2B69">
        <w:rPr>
          <w:sz w:val="24"/>
          <w:szCs w:val="24"/>
        </w:rPr>
        <w:t xml:space="preserve">az előzetes eljárás eredményeként </w:t>
      </w:r>
      <w:r w:rsidR="00C126BE">
        <w:rPr>
          <w:sz w:val="24"/>
          <w:szCs w:val="24"/>
        </w:rPr>
        <w:t xml:space="preserve">„engedélyt” kapna. </w:t>
      </w:r>
      <w:r w:rsidR="008D2B69">
        <w:rPr>
          <w:sz w:val="24"/>
          <w:szCs w:val="24"/>
        </w:rPr>
        <w:t>Mindennek az</w:t>
      </w:r>
      <w:r w:rsidR="00072FF9">
        <w:rPr>
          <w:sz w:val="24"/>
          <w:szCs w:val="24"/>
        </w:rPr>
        <w:t xml:space="preserve"> alapján </w:t>
      </w:r>
      <w:r w:rsidR="00C126BE">
        <w:rPr>
          <w:sz w:val="24"/>
          <w:szCs w:val="24"/>
        </w:rPr>
        <w:t>a 17. Cikk rendelkezései</w:t>
      </w:r>
      <w:r w:rsidR="00072FF9">
        <w:rPr>
          <w:sz w:val="24"/>
          <w:szCs w:val="24"/>
        </w:rPr>
        <w:t xml:space="preserve">nek </w:t>
      </w:r>
      <w:r w:rsidR="008D2B69">
        <w:rPr>
          <w:sz w:val="24"/>
          <w:szCs w:val="24"/>
        </w:rPr>
        <w:t xml:space="preserve">kellő humorral és </w:t>
      </w:r>
      <w:r w:rsidR="004641B7">
        <w:rPr>
          <w:sz w:val="24"/>
          <w:szCs w:val="24"/>
        </w:rPr>
        <w:t>szarkazmussal</w:t>
      </w:r>
      <w:r w:rsidR="008D2B69">
        <w:rPr>
          <w:sz w:val="24"/>
          <w:szCs w:val="24"/>
        </w:rPr>
        <w:t xml:space="preserve"> átitatott </w:t>
      </w:r>
      <w:r w:rsidR="00072FF9">
        <w:rPr>
          <w:sz w:val="24"/>
          <w:szCs w:val="24"/>
        </w:rPr>
        <w:t>parodisztikus változat</w:t>
      </w:r>
      <w:r w:rsidR="008D2B69">
        <w:rPr>
          <w:sz w:val="24"/>
          <w:szCs w:val="24"/>
        </w:rPr>
        <w:t xml:space="preserve">a jönne létre. </w:t>
      </w:r>
    </w:p>
    <w:p w:rsidR="00072FF9" w:rsidRDefault="00072FF9" w:rsidP="003E641F">
      <w:pPr>
        <w:jc w:val="both"/>
        <w:rPr>
          <w:sz w:val="24"/>
          <w:szCs w:val="24"/>
        </w:rPr>
      </w:pPr>
    </w:p>
    <w:p w:rsidR="00B05E71" w:rsidRDefault="00DF39F9" w:rsidP="003E64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072FF9">
        <w:rPr>
          <w:sz w:val="24"/>
          <w:szCs w:val="24"/>
        </w:rPr>
        <w:t>Ez a „</w:t>
      </w:r>
      <w:proofErr w:type="spellStart"/>
      <w:r w:rsidR="00072FF9">
        <w:rPr>
          <w:sz w:val="24"/>
          <w:szCs w:val="24"/>
        </w:rPr>
        <w:t>last</w:t>
      </w:r>
      <w:proofErr w:type="spellEnd"/>
      <w:r w:rsidR="00072FF9">
        <w:rPr>
          <w:sz w:val="24"/>
          <w:szCs w:val="24"/>
        </w:rPr>
        <w:t xml:space="preserve"> minute” vélemény aligha terhelhető a pro és kontra érvek </w:t>
      </w:r>
      <w:r w:rsidR="00C83CCA">
        <w:rPr>
          <w:sz w:val="24"/>
          <w:szCs w:val="24"/>
        </w:rPr>
        <w:t xml:space="preserve">részletes </w:t>
      </w:r>
      <w:r w:rsidR="00072FF9">
        <w:rPr>
          <w:sz w:val="24"/>
          <w:szCs w:val="24"/>
        </w:rPr>
        <w:t xml:space="preserve">elemzésével. Ehelyett utalok azokra a dokumentumokra, amelyben a 17. Cikk elfogadása utáni </w:t>
      </w:r>
      <w:r w:rsidR="00C83CCA">
        <w:rPr>
          <w:sz w:val="24"/>
          <w:szCs w:val="24"/>
        </w:rPr>
        <w:t xml:space="preserve">értelmezési </w:t>
      </w:r>
      <w:r w:rsidR="00072FF9">
        <w:rPr>
          <w:sz w:val="24"/>
          <w:szCs w:val="24"/>
        </w:rPr>
        <w:t xml:space="preserve">vitát tükrözik. </w:t>
      </w:r>
      <w:proofErr w:type="gramStart"/>
      <w:r w:rsidR="00072FF9">
        <w:rPr>
          <w:sz w:val="24"/>
          <w:szCs w:val="24"/>
        </w:rPr>
        <w:t xml:space="preserve">Mégpedig az európai kutatók egy </w:t>
      </w:r>
      <w:r w:rsidR="00016757">
        <w:rPr>
          <w:sz w:val="24"/>
          <w:szCs w:val="24"/>
        </w:rPr>
        <w:t xml:space="preserve">bizonyos </w:t>
      </w:r>
      <w:r w:rsidR="00072FF9">
        <w:rPr>
          <w:sz w:val="24"/>
          <w:szCs w:val="24"/>
        </w:rPr>
        <w:t>csoportjának a</w:t>
      </w:r>
      <w:r w:rsidR="00796114">
        <w:rPr>
          <w:sz w:val="24"/>
          <w:szCs w:val="24"/>
        </w:rPr>
        <w:t xml:space="preserve"> </w:t>
      </w:r>
      <w:bookmarkStart w:id="1" w:name="Safeguarding_User_Freedoms_in_Implementi"/>
      <w:bookmarkEnd w:id="1"/>
      <w:r w:rsidR="00796114" w:rsidRPr="00796114">
        <w:rPr>
          <w:sz w:val="24"/>
          <w:szCs w:val="24"/>
        </w:rPr>
        <w:t>„</w:t>
      </w:r>
      <w:proofErr w:type="spellStart"/>
      <w:r w:rsidR="00796114" w:rsidRPr="00796114">
        <w:rPr>
          <w:sz w:val="24"/>
          <w:szCs w:val="24"/>
        </w:rPr>
        <w:t>Safeguarding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User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Freedoms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in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Implementing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Article</w:t>
      </w:r>
      <w:proofErr w:type="spellEnd"/>
      <w:r w:rsidR="00796114" w:rsidRPr="00796114">
        <w:rPr>
          <w:sz w:val="24"/>
          <w:szCs w:val="24"/>
        </w:rPr>
        <w:t xml:space="preserve"> 17 of </w:t>
      </w:r>
      <w:proofErr w:type="spellStart"/>
      <w:r w:rsidR="00796114" w:rsidRPr="00796114">
        <w:rPr>
          <w:sz w:val="24"/>
          <w:szCs w:val="24"/>
        </w:rPr>
        <w:t>the</w:t>
      </w:r>
      <w:proofErr w:type="spellEnd"/>
      <w:r w:rsidR="00796114" w:rsidRPr="00796114">
        <w:rPr>
          <w:sz w:val="24"/>
          <w:szCs w:val="24"/>
        </w:rPr>
        <w:t xml:space="preserve"> Copyright </w:t>
      </w:r>
      <w:proofErr w:type="spellStart"/>
      <w:r w:rsidR="00796114" w:rsidRPr="00796114">
        <w:rPr>
          <w:sz w:val="24"/>
          <w:szCs w:val="24"/>
        </w:rPr>
        <w:t>in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the</w:t>
      </w:r>
      <w:proofErr w:type="spellEnd"/>
      <w:r w:rsidR="00796114" w:rsidRPr="00796114">
        <w:rPr>
          <w:sz w:val="24"/>
          <w:szCs w:val="24"/>
        </w:rPr>
        <w:t xml:space="preserve"> Digital </w:t>
      </w:r>
      <w:proofErr w:type="spellStart"/>
      <w:r w:rsidR="00796114" w:rsidRPr="00796114">
        <w:rPr>
          <w:sz w:val="24"/>
          <w:szCs w:val="24"/>
        </w:rPr>
        <w:t>Single</w:t>
      </w:r>
      <w:proofErr w:type="spellEnd"/>
      <w:r w:rsidR="00796114" w:rsidRPr="00796114">
        <w:rPr>
          <w:sz w:val="24"/>
          <w:szCs w:val="24"/>
        </w:rPr>
        <w:t xml:space="preserve"> Market </w:t>
      </w:r>
      <w:proofErr w:type="spellStart"/>
      <w:r w:rsidR="00796114" w:rsidRPr="00796114">
        <w:rPr>
          <w:sz w:val="24"/>
          <w:szCs w:val="24"/>
        </w:rPr>
        <w:t>Directive</w:t>
      </w:r>
      <w:proofErr w:type="spellEnd"/>
      <w:r w:rsidR="00796114" w:rsidRPr="00796114">
        <w:rPr>
          <w:sz w:val="24"/>
          <w:szCs w:val="24"/>
        </w:rPr>
        <w:t xml:space="preserve">: </w:t>
      </w:r>
      <w:proofErr w:type="spellStart"/>
      <w:r w:rsidR="00796114" w:rsidRPr="00796114">
        <w:rPr>
          <w:sz w:val="24"/>
          <w:szCs w:val="24"/>
        </w:rPr>
        <w:t>Recommendations</w:t>
      </w:r>
      <w:proofErr w:type="spellEnd"/>
      <w:r w:rsidR="00796114" w:rsidRPr="00796114">
        <w:rPr>
          <w:sz w:val="24"/>
          <w:szCs w:val="24"/>
        </w:rPr>
        <w:t xml:space="preserve"> </w:t>
      </w:r>
      <w:proofErr w:type="spellStart"/>
      <w:r w:rsidR="00796114" w:rsidRPr="00796114">
        <w:rPr>
          <w:sz w:val="24"/>
          <w:szCs w:val="24"/>
        </w:rPr>
        <w:t>from</w:t>
      </w:r>
      <w:proofErr w:type="spellEnd"/>
      <w:r w:rsidR="00796114" w:rsidRPr="00796114">
        <w:rPr>
          <w:sz w:val="24"/>
          <w:szCs w:val="24"/>
        </w:rPr>
        <w:t xml:space="preserve"> European </w:t>
      </w:r>
      <w:proofErr w:type="spellStart"/>
      <w:r w:rsidR="00796114" w:rsidRPr="00796114">
        <w:rPr>
          <w:sz w:val="24"/>
          <w:szCs w:val="24"/>
        </w:rPr>
        <w:t>Academics</w:t>
      </w:r>
      <w:proofErr w:type="spellEnd"/>
      <w:r w:rsidR="00796114">
        <w:rPr>
          <w:sz w:val="24"/>
          <w:szCs w:val="24"/>
        </w:rPr>
        <w:t>” című anyagára</w:t>
      </w:r>
      <w:r w:rsidR="004641B7">
        <w:rPr>
          <w:rStyle w:val="Lbjegyzet-hivatkozs"/>
          <w:sz w:val="24"/>
          <w:szCs w:val="24"/>
        </w:rPr>
        <w:footnoteReference w:id="1"/>
      </w:r>
      <w:r w:rsidR="00595D95">
        <w:rPr>
          <w:sz w:val="24"/>
          <w:szCs w:val="24"/>
        </w:rPr>
        <w:t>, a</w:t>
      </w:r>
      <w:r w:rsidR="00B05E71">
        <w:rPr>
          <w:sz w:val="24"/>
          <w:szCs w:val="24"/>
        </w:rPr>
        <w:t>mely a</w:t>
      </w:r>
      <w:r w:rsidR="00595D95">
        <w:rPr>
          <w:sz w:val="24"/>
          <w:szCs w:val="24"/>
        </w:rPr>
        <w:t>z</w:t>
      </w:r>
      <w:r w:rsidR="00B05E71">
        <w:rPr>
          <w:sz w:val="24"/>
          <w:szCs w:val="24"/>
        </w:rPr>
        <w:t xml:space="preserve"> „alapjogi” fundamentalizmus elveire támaszkodva akarva-akaratlan, közvetve-közvetlenül a </w:t>
      </w:r>
      <w:proofErr w:type="spellStart"/>
      <w:r w:rsidR="00B05E71">
        <w:rPr>
          <w:sz w:val="24"/>
          <w:szCs w:val="24"/>
        </w:rPr>
        <w:t>Google</w:t>
      </w:r>
      <w:proofErr w:type="spellEnd"/>
      <w:r w:rsidR="00B05E71">
        <w:rPr>
          <w:sz w:val="24"/>
          <w:szCs w:val="24"/>
        </w:rPr>
        <w:t xml:space="preserve"> és más globális </w:t>
      </w:r>
      <w:r w:rsidR="00FE2975">
        <w:rPr>
          <w:sz w:val="24"/>
          <w:szCs w:val="24"/>
        </w:rPr>
        <w:t xml:space="preserve">tartalommegosztók </w:t>
      </w:r>
      <w:r w:rsidR="00B05E71">
        <w:rPr>
          <w:sz w:val="24"/>
          <w:szCs w:val="24"/>
        </w:rPr>
        <w:t>érdekei</w:t>
      </w:r>
      <w:r w:rsidR="00595D95">
        <w:rPr>
          <w:sz w:val="24"/>
          <w:szCs w:val="24"/>
        </w:rPr>
        <w:t>vel áll</w:t>
      </w:r>
      <w:r w:rsidR="00B05E71">
        <w:rPr>
          <w:sz w:val="24"/>
          <w:szCs w:val="24"/>
        </w:rPr>
        <w:t xml:space="preserve"> </w:t>
      </w:r>
      <w:r w:rsidR="00595D95">
        <w:rPr>
          <w:sz w:val="24"/>
          <w:szCs w:val="24"/>
        </w:rPr>
        <w:t xml:space="preserve">összhangban; </w:t>
      </w:r>
      <w:r w:rsidR="00072FF9">
        <w:rPr>
          <w:sz w:val="24"/>
          <w:szCs w:val="24"/>
        </w:rPr>
        <w:t xml:space="preserve">az </w:t>
      </w:r>
      <w:r w:rsidR="00595D95">
        <w:rPr>
          <w:sz w:val="24"/>
          <w:szCs w:val="24"/>
        </w:rPr>
        <w:t>eml</w:t>
      </w:r>
      <w:r w:rsidR="003E641F">
        <w:rPr>
          <w:sz w:val="24"/>
          <w:szCs w:val="24"/>
        </w:rPr>
        <w:t>í</w:t>
      </w:r>
      <w:r w:rsidR="00595D95">
        <w:rPr>
          <w:sz w:val="24"/>
          <w:szCs w:val="24"/>
        </w:rPr>
        <w:t>t</w:t>
      </w:r>
      <w:r w:rsidR="003E641F">
        <w:rPr>
          <w:sz w:val="24"/>
          <w:szCs w:val="24"/>
        </w:rPr>
        <w:t>ett</w:t>
      </w:r>
      <w:r w:rsidR="00595D95">
        <w:rPr>
          <w:sz w:val="24"/>
          <w:szCs w:val="24"/>
        </w:rPr>
        <w:t xml:space="preserve"> anyagban foglalt elképzelések </w:t>
      </w:r>
      <w:r w:rsidR="00072FF9">
        <w:rPr>
          <w:sz w:val="24"/>
          <w:szCs w:val="24"/>
        </w:rPr>
        <w:t>elemzését és a vitatott pontok cáfolatát szolgáló</w:t>
      </w:r>
      <w:r w:rsidR="003E641F">
        <w:rPr>
          <w:sz w:val="24"/>
          <w:szCs w:val="24"/>
        </w:rPr>
        <w:t>, ”</w:t>
      </w:r>
      <w:r w:rsidR="003E641F" w:rsidRPr="003E641F">
        <w:rPr>
          <w:i/>
          <w:sz w:val="24"/>
          <w:szCs w:val="24"/>
        </w:rPr>
        <w:t xml:space="preserve">Il est plus </w:t>
      </w:r>
      <w:proofErr w:type="spellStart"/>
      <w:r w:rsidR="003E641F" w:rsidRPr="003E641F">
        <w:rPr>
          <w:i/>
          <w:sz w:val="24"/>
          <w:szCs w:val="24"/>
        </w:rPr>
        <w:t>qu</w:t>
      </w:r>
      <w:proofErr w:type="spellEnd"/>
      <w:r w:rsidR="003E641F" w:rsidRPr="003E641F">
        <w:rPr>
          <w:i/>
          <w:sz w:val="24"/>
          <w:szCs w:val="24"/>
        </w:rPr>
        <w:t>’</w:t>
      </w:r>
      <w:proofErr w:type="spellStart"/>
      <w:r w:rsidR="003E641F" w:rsidRPr="003E641F">
        <w:rPr>
          <w:i/>
          <w:sz w:val="24"/>
          <w:szCs w:val="24"/>
        </w:rPr>
        <w:t>un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i/>
          <w:sz w:val="24"/>
          <w:szCs w:val="24"/>
        </w:rPr>
        <w:t>bémol</w:t>
      </w:r>
      <w:proofErr w:type="spellEnd"/>
      <w:r w:rsidR="003E641F" w:rsidRPr="003E641F">
        <w:rPr>
          <w:i/>
          <w:sz w:val="24"/>
          <w:szCs w:val="24"/>
        </w:rPr>
        <w:t xml:space="preserve">; </w:t>
      </w:r>
      <w:proofErr w:type="spellStart"/>
      <w:r w:rsidR="003E641F" w:rsidRPr="003E641F">
        <w:rPr>
          <w:i/>
          <w:sz w:val="24"/>
          <w:szCs w:val="24"/>
        </w:rPr>
        <w:t>das</w:t>
      </w:r>
      <w:proofErr w:type="spellEnd"/>
      <w:r w:rsidR="003E641F" w:rsidRPr="003E641F">
        <w:rPr>
          <w:i/>
          <w:sz w:val="24"/>
          <w:szCs w:val="24"/>
        </w:rPr>
        <w:t xml:space="preserve"> </w:t>
      </w:r>
      <w:proofErr w:type="spellStart"/>
      <w:r w:rsidR="003E641F" w:rsidRPr="003E641F">
        <w:rPr>
          <w:i/>
          <w:sz w:val="24"/>
          <w:szCs w:val="24"/>
        </w:rPr>
        <w:t>ist</w:t>
      </w:r>
      <w:proofErr w:type="spellEnd"/>
      <w:r w:rsidR="003E641F" w:rsidRPr="003E641F">
        <w:rPr>
          <w:i/>
          <w:sz w:val="24"/>
          <w:szCs w:val="24"/>
        </w:rPr>
        <w:t xml:space="preserve"> </w:t>
      </w:r>
      <w:proofErr w:type="spellStart"/>
      <w:r w:rsidR="003E641F" w:rsidRPr="003E641F">
        <w:rPr>
          <w:i/>
          <w:sz w:val="24"/>
          <w:szCs w:val="24"/>
        </w:rPr>
        <w:t>eine</w:t>
      </w:r>
      <w:proofErr w:type="spellEnd"/>
      <w:r w:rsidR="003E641F" w:rsidRPr="003E641F">
        <w:rPr>
          <w:i/>
          <w:sz w:val="24"/>
          <w:szCs w:val="24"/>
        </w:rPr>
        <w:t xml:space="preserve"> </w:t>
      </w:r>
      <w:proofErr w:type="spellStart"/>
      <w:r w:rsidR="003E641F" w:rsidRPr="003E641F">
        <w:rPr>
          <w:i/>
          <w:sz w:val="24"/>
          <w:szCs w:val="24"/>
        </w:rPr>
        <w:t>völlig</w:t>
      </w:r>
      <w:proofErr w:type="spellEnd"/>
      <w:r w:rsidR="003E641F" w:rsidRPr="003E641F">
        <w:rPr>
          <w:i/>
          <w:sz w:val="24"/>
          <w:szCs w:val="24"/>
        </w:rPr>
        <w:t xml:space="preserve"> </w:t>
      </w:r>
      <w:proofErr w:type="spellStart"/>
      <w:r w:rsidR="003E641F" w:rsidRPr="003E641F">
        <w:rPr>
          <w:i/>
          <w:sz w:val="24"/>
          <w:szCs w:val="24"/>
        </w:rPr>
        <w:t>andere</w:t>
      </w:r>
      <w:proofErr w:type="spellEnd"/>
      <w:r w:rsidR="003E641F" w:rsidRPr="003E641F">
        <w:rPr>
          <w:i/>
          <w:sz w:val="24"/>
          <w:szCs w:val="24"/>
        </w:rPr>
        <w:t xml:space="preserve"> Music</w:t>
      </w:r>
      <w:r w:rsidR="003E641F" w:rsidRPr="003E641F">
        <w:rPr>
          <w:sz w:val="24"/>
          <w:szCs w:val="24"/>
        </w:rPr>
        <w:t>:</w:t>
      </w:r>
      <w:r w:rsidR="003E641F" w:rsidRPr="003E641F">
        <w:rPr>
          <w:i/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comments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on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certain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Recommendations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published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by</w:t>
      </w:r>
      <w:proofErr w:type="spellEnd"/>
      <w:r w:rsidR="003E641F" w:rsidRPr="003E641F">
        <w:rPr>
          <w:sz w:val="24"/>
          <w:szCs w:val="24"/>
        </w:rPr>
        <w:t xml:space="preserve"> a </w:t>
      </w:r>
      <w:proofErr w:type="spellStart"/>
      <w:r w:rsidR="003E641F" w:rsidRPr="003E641F">
        <w:rPr>
          <w:sz w:val="24"/>
          <w:szCs w:val="24"/>
        </w:rPr>
        <w:t>group</w:t>
      </w:r>
      <w:proofErr w:type="spellEnd"/>
      <w:proofErr w:type="gramEnd"/>
      <w:r w:rsidR="003E641F" w:rsidRPr="003E641F">
        <w:rPr>
          <w:sz w:val="24"/>
          <w:szCs w:val="24"/>
        </w:rPr>
        <w:t xml:space="preserve"> </w:t>
      </w:r>
      <w:proofErr w:type="gramStart"/>
      <w:r w:rsidR="003E641F" w:rsidRPr="003E641F">
        <w:rPr>
          <w:sz w:val="24"/>
          <w:szCs w:val="24"/>
        </w:rPr>
        <w:t xml:space="preserve">of European </w:t>
      </w:r>
      <w:proofErr w:type="spellStart"/>
      <w:r w:rsidR="003E641F" w:rsidRPr="003E641F">
        <w:rPr>
          <w:sz w:val="24"/>
          <w:szCs w:val="24"/>
        </w:rPr>
        <w:t>academics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to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suggest</w:t>
      </w:r>
      <w:proofErr w:type="spellEnd"/>
      <w:r w:rsidR="003E641F" w:rsidRPr="003E641F">
        <w:rPr>
          <w:sz w:val="24"/>
          <w:szCs w:val="24"/>
        </w:rPr>
        <w:t xml:space="preserve"> a </w:t>
      </w:r>
      <w:proofErr w:type="spellStart"/>
      <w:r w:rsidR="003E641F" w:rsidRPr="003E641F">
        <w:rPr>
          <w:sz w:val="24"/>
          <w:szCs w:val="24"/>
        </w:rPr>
        <w:t>special</w:t>
      </w:r>
      <w:proofErr w:type="spellEnd"/>
      <w:r w:rsidR="003E641F" w:rsidRPr="003E641F">
        <w:rPr>
          <w:sz w:val="24"/>
          <w:szCs w:val="24"/>
        </w:rPr>
        <w:t xml:space="preserve"> </w:t>
      </w:r>
      <w:proofErr w:type="spellStart"/>
      <w:r w:rsidR="003E641F" w:rsidRPr="003E641F">
        <w:rPr>
          <w:sz w:val="24"/>
          <w:szCs w:val="24"/>
        </w:rPr>
        <w:t>way</w:t>
      </w:r>
      <w:proofErr w:type="spellEnd"/>
      <w:r w:rsidR="003E641F" w:rsidRPr="003E641F">
        <w:rPr>
          <w:sz w:val="24"/>
          <w:szCs w:val="24"/>
        </w:rPr>
        <w:t xml:space="preserve"> of </w:t>
      </w:r>
      <w:proofErr w:type="spellStart"/>
      <w:r w:rsidR="003E641F" w:rsidRPr="003E641F">
        <w:rPr>
          <w:sz w:val="24"/>
          <w:szCs w:val="24"/>
        </w:rPr>
        <w:t>implementation</w:t>
      </w:r>
      <w:proofErr w:type="spellEnd"/>
      <w:r w:rsidR="003E641F" w:rsidRPr="003E641F">
        <w:rPr>
          <w:sz w:val="24"/>
          <w:szCs w:val="24"/>
        </w:rPr>
        <w:t xml:space="preserve"> of </w:t>
      </w:r>
      <w:proofErr w:type="spellStart"/>
      <w:r w:rsidR="003E641F" w:rsidRPr="003E641F">
        <w:rPr>
          <w:sz w:val="24"/>
          <w:szCs w:val="24"/>
        </w:rPr>
        <w:t>Article</w:t>
      </w:r>
      <w:proofErr w:type="spellEnd"/>
      <w:r w:rsidR="003E641F" w:rsidRPr="003E641F">
        <w:rPr>
          <w:sz w:val="24"/>
          <w:szCs w:val="24"/>
        </w:rPr>
        <w:t xml:space="preserve"> 17 of </w:t>
      </w:r>
      <w:proofErr w:type="spellStart"/>
      <w:r w:rsidR="003E641F" w:rsidRPr="003E641F">
        <w:rPr>
          <w:sz w:val="24"/>
          <w:szCs w:val="24"/>
        </w:rPr>
        <w:t>the</w:t>
      </w:r>
      <w:proofErr w:type="spellEnd"/>
      <w:r w:rsidR="003E641F" w:rsidRPr="003E641F">
        <w:rPr>
          <w:sz w:val="24"/>
          <w:szCs w:val="24"/>
        </w:rPr>
        <w:t xml:space="preserve"> DSM </w:t>
      </w:r>
      <w:proofErr w:type="spellStart"/>
      <w:r w:rsidR="003E641F" w:rsidRPr="003E641F">
        <w:rPr>
          <w:sz w:val="24"/>
          <w:szCs w:val="24"/>
        </w:rPr>
        <w:t>Directive</w:t>
      </w:r>
      <w:proofErr w:type="spellEnd"/>
      <w:r w:rsidR="003E641F" w:rsidRPr="003E641F">
        <w:rPr>
          <w:sz w:val="24"/>
          <w:szCs w:val="24"/>
        </w:rPr>
        <w:t xml:space="preserve">” </w:t>
      </w:r>
      <w:r w:rsidR="00072FF9">
        <w:rPr>
          <w:sz w:val="24"/>
          <w:szCs w:val="24"/>
        </w:rPr>
        <w:t xml:space="preserve">című írásomra, </w:t>
      </w:r>
      <w:r w:rsidR="00B05E71">
        <w:rPr>
          <w:sz w:val="24"/>
          <w:szCs w:val="24"/>
        </w:rPr>
        <w:t xml:space="preserve">amely </w:t>
      </w:r>
      <w:r w:rsidR="00072FF9">
        <w:rPr>
          <w:sz w:val="24"/>
          <w:szCs w:val="24"/>
        </w:rPr>
        <w:t>ugyan</w:t>
      </w:r>
      <w:r w:rsidR="00016757">
        <w:rPr>
          <w:sz w:val="24"/>
          <w:szCs w:val="24"/>
        </w:rPr>
        <w:t>ezen</w:t>
      </w:r>
      <w:r w:rsidR="00072FF9">
        <w:rPr>
          <w:sz w:val="24"/>
          <w:szCs w:val="24"/>
        </w:rPr>
        <w:t xml:space="preserve"> a</w:t>
      </w:r>
      <w:r w:rsidR="00072FF9" w:rsidRPr="003E641F">
        <w:rPr>
          <w:sz w:val="24"/>
          <w:szCs w:val="24"/>
        </w:rPr>
        <w:t xml:space="preserve"> </w:t>
      </w:r>
      <w:hyperlink r:id="rId10" w:history="1">
        <w:r w:rsidR="003E641F" w:rsidRPr="003E641F">
          <w:rPr>
            <w:rStyle w:val="Hiperhivatkozs"/>
            <w:color w:val="auto"/>
            <w:sz w:val="24"/>
            <w:szCs w:val="24"/>
            <w:u w:val="none"/>
          </w:rPr>
          <w:t>www.copyrightseesaw.net</w:t>
        </w:r>
      </w:hyperlink>
      <w:r w:rsidR="003E641F">
        <w:rPr>
          <w:rStyle w:val="Hiperhivatkozs"/>
          <w:color w:val="auto"/>
          <w:sz w:val="24"/>
          <w:szCs w:val="24"/>
          <w:u w:val="none"/>
        </w:rPr>
        <w:t xml:space="preserve"> </w:t>
      </w:r>
      <w:proofErr w:type="spellStart"/>
      <w:r w:rsidR="003E641F">
        <w:rPr>
          <w:rStyle w:val="Hiperhivatkozs"/>
          <w:color w:val="auto"/>
          <w:sz w:val="24"/>
          <w:szCs w:val="24"/>
          <w:u w:val="none"/>
        </w:rPr>
        <w:t>w</w:t>
      </w:r>
      <w:r w:rsidR="00072FF9">
        <w:rPr>
          <w:sz w:val="24"/>
          <w:szCs w:val="24"/>
        </w:rPr>
        <w:t>ebhelyen</w:t>
      </w:r>
      <w:proofErr w:type="spellEnd"/>
      <w:r w:rsidR="00072FF9">
        <w:rPr>
          <w:sz w:val="24"/>
          <w:szCs w:val="24"/>
        </w:rPr>
        <w:t xml:space="preserve"> található</w:t>
      </w:r>
      <w:r w:rsidR="003E641F">
        <w:rPr>
          <w:sz w:val="24"/>
          <w:szCs w:val="24"/>
        </w:rPr>
        <w:t xml:space="preserve">; </w:t>
      </w:r>
      <w:r w:rsidR="00072FF9">
        <w:rPr>
          <w:sz w:val="24"/>
          <w:szCs w:val="24"/>
        </w:rPr>
        <w:t xml:space="preserve">valamint az ALAI Végrehajtó Bizottság által </w:t>
      </w:r>
      <w:r w:rsidR="003E641F">
        <w:rPr>
          <w:sz w:val="24"/>
          <w:szCs w:val="24"/>
        </w:rPr>
        <w:t xml:space="preserve">létrehozott </w:t>
      </w:r>
      <w:r w:rsidR="00072FF9">
        <w:rPr>
          <w:sz w:val="24"/>
          <w:szCs w:val="24"/>
        </w:rPr>
        <w:t>munkacsoport</w:t>
      </w:r>
      <w:r w:rsidR="003E641F">
        <w:rPr>
          <w:sz w:val="24"/>
          <w:szCs w:val="24"/>
        </w:rPr>
        <w:t>unknak</w:t>
      </w:r>
      <w:r w:rsidR="00B05E71">
        <w:rPr>
          <w:sz w:val="24"/>
          <w:szCs w:val="24"/>
        </w:rPr>
        <w:t xml:space="preserve"> az említett írásomban kifejtettekkel összhangban álló véleményére</w:t>
      </w:r>
      <w:r>
        <w:rPr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</w:rPr>
        <w:t>„</w:t>
      </w:r>
      <w:proofErr w:type="spellStart"/>
      <w:r w:rsidRPr="00DF39F9">
        <w:rPr>
          <w:rFonts w:asciiTheme="minorHAnsi" w:hAnsiTheme="minorHAnsi" w:cstheme="minorHAnsi"/>
          <w:sz w:val="24"/>
        </w:rPr>
        <w:t>O</w:t>
      </w:r>
      <w:r>
        <w:rPr>
          <w:rFonts w:asciiTheme="minorHAnsi" w:hAnsiTheme="minorHAnsi" w:cstheme="minorHAnsi"/>
          <w:sz w:val="24"/>
        </w:rPr>
        <w:t>pinion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on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certain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aspects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of </w:t>
      </w:r>
      <w:proofErr w:type="spellStart"/>
      <w:r w:rsidRPr="00DF39F9">
        <w:rPr>
          <w:rFonts w:asciiTheme="minorHAnsi" w:hAnsiTheme="minorHAnsi" w:cstheme="minorHAnsi"/>
          <w:sz w:val="24"/>
        </w:rPr>
        <w:t>the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implementation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of </w:t>
      </w:r>
      <w:proofErr w:type="spellStart"/>
      <w:r w:rsidRPr="00DF39F9">
        <w:rPr>
          <w:rFonts w:asciiTheme="minorHAnsi" w:hAnsiTheme="minorHAnsi" w:cstheme="minorHAnsi"/>
          <w:sz w:val="24"/>
        </w:rPr>
        <w:t>Article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17 of </w:t>
      </w:r>
      <w:proofErr w:type="spellStart"/>
      <w:r w:rsidRPr="00DF39F9">
        <w:rPr>
          <w:rFonts w:asciiTheme="minorHAnsi" w:hAnsiTheme="minorHAnsi" w:cstheme="minorHAnsi"/>
          <w:sz w:val="24"/>
        </w:rPr>
        <w:t>Directive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(EU) 2019/790 of 17 </w:t>
      </w:r>
      <w:proofErr w:type="spellStart"/>
      <w:r w:rsidRPr="00DF39F9">
        <w:rPr>
          <w:rFonts w:asciiTheme="minorHAnsi" w:hAnsiTheme="minorHAnsi" w:cstheme="minorHAnsi"/>
          <w:sz w:val="24"/>
        </w:rPr>
        <w:t>April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2019 </w:t>
      </w:r>
      <w:proofErr w:type="spellStart"/>
      <w:r w:rsidRPr="00DF39F9">
        <w:rPr>
          <w:rFonts w:asciiTheme="minorHAnsi" w:hAnsiTheme="minorHAnsi" w:cstheme="minorHAnsi"/>
          <w:sz w:val="24"/>
        </w:rPr>
        <w:t>on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copyright and </w:t>
      </w:r>
      <w:proofErr w:type="spellStart"/>
      <w:r w:rsidRPr="00DF39F9">
        <w:rPr>
          <w:rFonts w:asciiTheme="minorHAnsi" w:hAnsiTheme="minorHAnsi" w:cstheme="minorHAnsi"/>
          <w:sz w:val="24"/>
        </w:rPr>
        <w:t>related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rights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in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the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digital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DF39F9">
        <w:rPr>
          <w:rFonts w:asciiTheme="minorHAnsi" w:hAnsiTheme="minorHAnsi" w:cstheme="minorHAnsi"/>
          <w:sz w:val="24"/>
        </w:rPr>
        <w:t>single</w:t>
      </w:r>
      <w:proofErr w:type="spellEnd"/>
      <w:r w:rsidRPr="00DF39F9">
        <w:rPr>
          <w:rFonts w:asciiTheme="minorHAnsi" w:hAnsiTheme="minorHAnsi" w:cstheme="minorHAnsi"/>
          <w:sz w:val="24"/>
        </w:rPr>
        <w:t xml:space="preserve"> market</w:t>
      </w:r>
      <w:r>
        <w:rPr>
          <w:rFonts w:asciiTheme="minorHAnsi" w:hAnsiTheme="minorHAnsi" w:cstheme="minorHAnsi"/>
          <w:sz w:val="24"/>
        </w:rPr>
        <w:t>”</w:t>
      </w:r>
      <w:r w:rsidR="00B05E71">
        <w:rPr>
          <w:sz w:val="24"/>
          <w:szCs w:val="24"/>
        </w:rPr>
        <w:t>.</w:t>
      </w:r>
      <w:proofErr w:type="gramEnd"/>
      <w:r w:rsidR="00595D95">
        <w:rPr>
          <w:rStyle w:val="Lbjegyzet-hivatkozs"/>
          <w:sz w:val="24"/>
          <w:szCs w:val="24"/>
        </w:rPr>
        <w:footnoteReference w:id="2"/>
      </w:r>
    </w:p>
    <w:p w:rsidR="003E641F" w:rsidRPr="003E641F" w:rsidRDefault="003E641F" w:rsidP="00195B20">
      <w:pPr>
        <w:jc w:val="both"/>
        <w:rPr>
          <w:sz w:val="24"/>
          <w:szCs w:val="24"/>
        </w:rPr>
      </w:pPr>
    </w:p>
    <w:p w:rsidR="00C90B95" w:rsidRDefault="00DF39F9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05E71">
        <w:rPr>
          <w:sz w:val="24"/>
          <w:szCs w:val="24"/>
        </w:rPr>
        <w:t xml:space="preserve">A törvénytervezet a súlyos vitákkal terhelt 17. Cikkének </w:t>
      </w:r>
      <w:r w:rsidR="001C0432">
        <w:rPr>
          <w:sz w:val="24"/>
          <w:szCs w:val="24"/>
        </w:rPr>
        <w:t xml:space="preserve">átültetésére azt a lehető legjobb módszert választotta, hogy </w:t>
      </w:r>
      <w:r w:rsidR="00B05E71">
        <w:rPr>
          <w:sz w:val="24"/>
          <w:szCs w:val="24"/>
        </w:rPr>
        <w:t>a rendkívül kényes egyensúlyt létrehozó rendelkezése</w:t>
      </w:r>
      <w:r w:rsidR="001C0432">
        <w:rPr>
          <w:sz w:val="24"/>
          <w:szCs w:val="24"/>
        </w:rPr>
        <w:t>ket</w:t>
      </w:r>
      <w:r w:rsidR="00B05E71">
        <w:rPr>
          <w:sz w:val="24"/>
          <w:szCs w:val="24"/>
        </w:rPr>
        <w:t xml:space="preserve"> szinte egy-egyben</w:t>
      </w:r>
      <w:r>
        <w:rPr>
          <w:sz w:val="24"/>
          <w:szCs w:val="24"/>
        </w:rPr>
        <w:t xml:space="preserve"> átvette</w:t>
      </w:r>
      <w:r w:rsidR="00B05E71">
        <w:rPr>
          <w:sz w:val="24"/>
          <w:szCs w:val="24"/>
        </w:rPr>
        <w:t>.</w:t>
      </w:r>
      <w:r>
        <w:rPr>
          <w:sz w:val="24"/>
          <w:szCs w:val="24"/>
        </w:rPr>
        <w:t xml:space="preserve">  A</w:t>
      </w:r>
      <w:r w:rsidR="001C0432">
        <w:rPr>
          <w:sz w:val="24"/>
          <w:szCs w:val="24"/>
        </w:rPr>
        <w:t xml:space="preserve"> Cikk értelmezését érintő fent említett kérdésekre utalva</w:t>
      </w:r>
      <w:r>
        <w:rPr>
          <w:sz w:val="24"/>
          <w:szCs w:val="24"/>
        </w:rPr>
        <w:t xml:space="preserve"> csupán azt szeretném hangsúlyozni</w:t>
      </w:r>
      <w:r w:rsidR="001C0432">
        <w:rPr>
          <w:sz w:val="24"/>
          <w:szCs w:val="24"/>
        </w:rPr>
        <w:t xml:space="preserve">, hogy ha a 17. Cikk rendelkezéseinek bármilyen, a jogosultak érdekeit megfelelően és kiegyensúlyozott módon </w:t>
      </w:r>
      <w:r>
        <w:rPr>
          <w:sz w:val="24"/>
          <w:szCs w:val="24"/>
        </w:rPr>
        <w:t>szolgáló</w:t>
      </w:r>
      <w:r w:rsidR="001C0432">
        <w:rPr>
          <w:sz w:val="24"/>
          <w:szCs w:val="24"/>
        </w:rPr>
        <w:t xml:space="preserve"> átültetését kívánjuk szolgálni, vissza kell utasítanunk azt az elképzelést, hogy bármilyen a Cikk (9) bekezdése szerinti vitarendezési eljárás úgy me</w:t>
      </w:r>
      <w:r>
        <w:rPr>
          <w:sz w:val="24"/>
          <w:szCs w:val="24"/>
        </w:rPr>
        <w:t xml:space="preserve">hessen </w:t>
      </w:r>
      <w:r w:rsidR="001C0432">
        <w:rPr>
          <w:sz w:val="24"/>
          <w:szCs w:val="24"/>
        </w:rPr>
        <w:t>végbe, hogy a jogosultak által jogsértőként megjelölt tartalm</w:t>
      </w:r>
      <w:r>
        <w:rPr>
          <w:sz w:val="24"/>
          <w:szCs w:val="24"/>
        </w:rPr>
        <w:t>ak</w:t>
      </w:r>
      <w:r w:rsidR="001C0432">
        <w:rPr>
          <w:sz w:val="24"/>
          <w:szCs w:val="24"/>
        </w:rPr>
        <w:t xml:space="preserve"> az eljárás alatt továbbra is hozzáférhető</w:t>
      </w:r>
      <w:r>
        <w:rPr>
          <w:sz w:val="24"/>
          <w:szCs w:val="24"/>
        </w:rPr>
        <w:t>ek</w:t>
      </w:r>
      <w:r w:rsidR="001C0432">
        <w:rPr>
          <w:sz w:val="24"/>
          <w:szCs w:val="24"/>
        </w:rPr>
        <w:t xml:space="preserve"> maradj</w:t>
      </w:r>
      <w:r>
        <w:rPr>
          <w:sz w:val="24"/>
          <w:szCs w:val="24"/>
        </w:rPr>
        <w:t>anak</w:t>
      </w:r>
      <w:r w:rsidR="001C0432">
        <w:rPr>
          <w:sz w:val="24"/>
          <w:szCs w:val="24"/>
        </w:rPr>
        <w:t>. Ha a</w:t>
      </w:r>
      <w:r w:rsidR="00FE2975">
        <w:rPr>
          <w:sz w:val="24"/>
          <w:szCs w:val="24"/>
        </w:rPr>
        <w:t xml:space="preserve">z online </w:t>
      </w:r>
      <w:r w:rsidR="001C0432">
        <w:rPr>
          <w:sz w:val="24"/>
          <w:szCs w:val="24"/>
        </w:rPr>
        <w:t xml:space="preserve"> </w:t>
      </w:r>
      <w:r w:rsidR="00FE2975">
        <w:rPr>
          <w:sz w:val="24"/>
          <w:szCs w:val="24"/>
        </w:rPr>
        <w:t>tartalommegosztókn</w:t>
      </w:r>
      <w:r>
        <w:rPr>
          <w:sz w:val="24"/>
          <w:szCs w:val="24"/>
        </w:rPr>
        <w:t xml:space="preserve">ak a Cikk (4) bekezdése szerinti </w:t>
      </w:r>
      <w:r w:rsidR="001C0432">
        <w:rPr>
          <w:sz w:val="24"/>
          <w:szCs w:val="24"/>
        </w:rPr>
        <w:t>eltávolítási</w:t>
      </w:r>
      <w:r>
        <w:rPr>
          <w:sz w:val="24"/>
          <w:szCs w:val="24"/>
        </w:rPr>
        <w:t>, illetve</w:t>
      </w:r>
      <w:r w:rsidR="001C0432">
        <w:rPr>
          <w:sz w:val="24"/>
          <w:szCs w:val="24"/>
        </w:rPr>
        <w:t xml:space="preserve"> blokkolási kötelezettségét egy, az eltávolítás vagy blokkolás előzetes engedélyezését célzó </w:t>
      </w:r>
      <w:proofErr w:type="spellStart"/>
      <w:r w:rsidR="001C0432" w:rsidRPr="00DF39F9">
        <w:rPr>
          <w:i/>
          <w:sz w:val="24"/>
          <w:szCs w:val="24"/>
        </w:rPr>
        <w:t>contra</w:t>
      </w:r>
      <w:proofErr w:type="spellEnd"/>
      <w:r w:rsidR="001C0432" w:rsidRPr="00DF39F9">
        <w:rPr>
          <w:i/>
          <w:sz w:val="24"/>
          <w:szCs w:val="24"/>
        </w:rPr>
        <w:t xml:space="preserve"> legem</w:t>
      </w:r>
      <w:r w:rsidR="001C0432">
        <w:rPr>
          <w:sz w:val="24"/>
          <w:szCs w:val="24"/>
        </w:rPr>
        <w:t xml:space="preserve"> eljárással váltanánk fel, ez még egy viszonylag gyors eljárás esetén is </w:t>
      </w:r>
      <w:r w:rsidR="00FB7780">
        <w:rPr>
          <w:sz w:val="24"/>
          <w:szCs w:val="24"/>
        </w:rPr>
        <w:t xml:space="preserve">súlyos károkkal járna </w:t>
      </w:r>
      <w:proofErr w:type="gramStart"/>
      <w:r w:rsidR="00FB7780">
        <w:rPr>
          <w:sz w:val="24"/>
          <w:szCs w:val="24"/>
        </w:rPr>
        <w:t>a</w:t>
      </w:r>
      <w:proofErr w:type="gramEnd"/>
      <w:r w:rsidR="00FB7780">
        <w:rPr>
          <w:sz w:val="24"/>
          <w:szCs w:val="24"/>
        </w:rPr>
        <w:t xml:space="preserve"> érintett tartalmak</w:t>
      </w:r>
      <w:r>
        <w:rPr>
          <w:sz w:val="24"/>
          <w:szCs w:val="24"/>
        </w:rPr>
        <w:t xml:space="preserve">nak az eljárás ideje alatti </w:t>
      </w:r>
      <w:r w:rsidR="00FB7780">
        <w:rPr>
          <w:sz w:val="24"/>
          <w:szCs w:val="24"/>
        </w:rPr>
        <w:t>további hozzáférhetősége</w:t>
      </w:r>
      <w:r>
        <w:rPr>
          <w:sz w:val="24"/>
          <w:szCs w:val="24"/>
        </w:rPr>
        <w:t xml:space="preserve"> folytán</w:t>
      </w:r>
      <w:r w:rsidR="00FB7780">
        <w:rPr>
          <w:sz w:val="24"/>
          <w:szCs w:val="24"/>
        </w:rPr>
        <w:t>. Viszont, ha a hatékony és gyors vitarendezései eljárásra az Irányelv rendelkezéseivel összhangban a blokkolás megtörténtével kerül sor (bizonyos</w:t>
      </w:r>
      <w:r w:rsidR="00842282">
        <w:rPr>
          <w:sz w:val="24"/>
          <w:szCs w:val="24"/>
        </w:rPr>
        <w:t>,</w:t>
      </w:r>
      <w:r w:rsidR="00FB7780">
        <w:rPr>
          <w:sz w:val="24"/>
          <w:szCs w:val="24"/>
        </w:rPr>
        <w:t xml:space="preserve"> az érdekeltek által közösen elfogadott és technológiai úton kezelt nyilvánvaló kivételekkel</w:t>
      </w:r>
      <w:r>
        <w:rPr>
          <w:sz w:val="24"/>
          <w:szCs w:val="24"/>
        </w:rPr>
        <w:t>, amelyeknek e lehetőségére mind a fent említett írásom, mind az ALAI vélemény utal</w:t>
      </w:r>
      <w:r w:rsidR="00FB7780">
        <w:rPr>
          <w:sz w:val="24"/>
          <w:szCs w:val="24"/>
        </w:rPr>
        <w:t>), a véleménynyilvánítás szabadsága</w:t>
      </w:r>
      <w:r w:rsidR="00842282">
        <w:rPr>
          <w:sz w:val="24"/>
          <w:szCs w:val="24"/>
        </w:rPr>
        <w:t xml:space="preserve"> semmilyen indokolatlan sérelmet nem szenvedne. L</w:t>
      </w:r>
      <w:r w:rsidR="00FB7780">
        <w:rPr>
          <w:sz w:val="24"/>
          <w:szCs w:val="24"/>
        </w:rPr>
        <w:t>egfeljebb csak annyiban lenne érintve, hogy bár</w:t>
      </w:r>
      <w:r w:rsidR="00842282">
        <w:rPr>
          <w:sz w:val="24"/>
          <w:szCs w:val="24"/>
        </w:rPr>
        <w:t>,</w:t>
      </w:r>
      <w:r w:rsidR="00FB7780">
        <w:rPr>
          <w:sz w:val="24"/>
          <w:szCs w:val="24"/>
        </w:rPr>
        <w:t xml:space="preserve"> </w:t>
      </w:r>
      <w:r w:rsidR="00842282">
        <w:rPr>
          <w:sz w:val="24"/>
          <w:szCs w:val="24"/>
        </w:rPr>
        <w:t xml:space="preserve">például, </w:t>
      </w:r>
      <w:r w:rsidR="00FB7780">
        <w:rPr>
          <w:sz w:val="24"/>
          <w:szCs w:val="24"/>
        </w:rPr>
        <w:t>egy</w:t>
      </w:r>
      <w:r w:rsidR="00C90B95">
        <w:rPr>
          <w:sz w:val="24"/>
          <w:szCs w:val="24"/>
        </w:rPr>
        <w:t>-egy</w:t>
      </w:r>
      <w:r w:rsidR="00FB7780">
        <w:rPr>
          <w:sz w:val="24"/>
          <w:szCs w:val="24"/>
        </w:rPr>
        <w:t xml:space="preserve"> paródia formájában kifejezett vélemény nem lenne azonnal hozzáférhető, </w:t>
      </w:r>
      <w:r w:rsidR="00C90B95">
        <w:rPr>
          <w:sz w:val="24"/>
          <w:szCs w:val="24"/>
        </w:rPr>
        <w:t xml:space="preserve">indokolt esetben, </w:t>
      </w:r>
      <w:r w:rsidR="00FB7780">
        <w:rPr>
          <w:sz w:val="24"/>
          <w:szCs w:val="24"/>
        </w:rPr>
        <w:t>megfelelő együttműködés</w:t>
      </w:r>
      <w:r w:rsidR="004978AC">
        <w:rPr>
          <w:sz w:val="24"/>
          <w:szCs w:val="24"/>
        </w:rPr>
        <w:t>sel</w:t>
      </w:r>
      <w:r w:rsidR="00FB7780">
        <w:rPr>
          <w:sz w:val="24"/>
          <w:szCs w:val="24"/>
        </w:rPr>
        <w:t xml:space="preserve"> </w:t>
      </w:r>
      <w:r w:rsidR="00842282">
        <w:rPr>
          <w:sz w:val="24"/>
          <w:szCs w:val="24"/>
        </w:rPr>
        <w:t xml:space="preserve">egy napon vagy akár néhány órán belül </w:t>
      </w:r>
      <w:r w:rsidR="00C90B95">
        <w:rPr>
          <w:sz w:val="24"/>
          <w:szCs w:val="24"/>
        </w:rPr>
        <w:t>hozzáférhetővé vál</w:t>
      </w:r>
      <w:r w:rsidR="00842282">
        <w:rPr>
          <w:sz w:val="24"/>
          <w:szCs w:val="24"/>
        </w:rPr>
        <w:t>hat</w:t>
      </w:r>
      <w:r w:rsidR="00C90B95">
        <w:rPr>
          <w:sz w:val="24"/>
          <w:szCs w:val="24"/>
        </w:rPr>
        <w:t xml:space="preserve">na. </w:t>
      </w:r>
    </w:p>
    <w:p w:rsidR="00C90B95" w:rsidRDefault="00C90B95" w:rsidP="00195B20">
      <w:pPr>
        <w:jc w:val="both"/>
        <w:rPr>
          <w:sz w:val="24"/>
          <w:szCs w:val="24"/>
        </w:rPr>
      </w:pPr>
    </w:p>
    <w:p w:rsidR="00877DC9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4978AC">
        <w:rPr>
          <w:sz w:val="24"/>
          <w:szCs w:val="24"/>
        </w:rPr>
        <w:t xml:space="preserve">A törvénytervezetnek az online tartalommegosztó szolgáltatókra vonatkozó szabályai – miután hűségesen követik az Irányelv rendelkezései – </w:t>
      </w:r>
      <w:r w:rsidR="00B076C1">
        <w:rPr>
          <w:sz w:val="24"/>
          <w:szCs w:val="24"/>
        </w:rPr>
        <w:t xml:space="preserve">általában </w:t>
      </w:r>
      <w:r w:rsidR="004978AC">
        <w:rPr>
          <w:sz w:val="24"/>
          <w:szCs w:val="24"/>
        </w:rPr>
        <w:t xml:space="preserve">nem járnak ilyen veszéllyel.  </w:t>
      </w:r>
      <w:r w:rsidR="00B076C1">
        <w:rPr>
          <w:sz w:val="24"/>
          <w:szCs w:val="24"/>
        </w:rPr>
        <w:t>Legfeljebb a 17. Cikk (9) bekezdésében foglaltaknak a tervezet</w:t>
      </w:r>
      <w:r w:rsidR="00FE2975">
        <w:rPr>
          <w:sz w:val="24"/>
          <w:szCs w:val="24"/>
        </w:rPr>
        <w:t xml:space="preserve"> 57/</w:t>
      </w:r>
      <w:proofErr w:type="gramStart"/>
      <w:r w:rsidR="00FE2975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</w:t>
      </w:r>
      <w:r w:rsidR="00B076C1">
        <w:rPr>
          <w:sz w:val="24"/>
          <w:szCs w:val="24"/>
        </w:rPr>
        <w:t>§</w:t>
      </w:r>
      <w:proofErr w:type="spellStart"/>
      <w:r w:rsidR="00FE2975">
        <w:rPr>
          <w:sz w:val="24"/>
          <w:szCs w:val="24"/>
        </w:rPr>
        <w:t>-á</w:t>
      </w:r>
      <w:r w:rsidR="00B076C1">
        <w:rPr>
          <w:sz w:val="24"/>
          <w:szCs w:val="24"/>
        </w:rPr>
        <w:t>ban</w:t>
      </w:r>
      <w:proofErr w:type="spellEnd"/>
      <w:r w:rsidR="00B076C1">
        <w:rPr>
          <w:sz w:val="24"/>
          <w:szCs w:val="24"/>
        </w:rPr>
        <w:t xml:space="preserve"> történő szöveghű átvételéből adódhatnak, mert esetleg úgy értelmezhetők (félre) a rendelkezések, hogy azok módot adnának a blokkolás illetve eltávolítás „engedélyezését” lehetővé tevő előzetes eljárás</w:t>
      </w:r>
      <w:r w:rsidR="00877DC9">
        <w:rPr>
          <w:sz w:val="24"/>
          <w:szCs w:val="24"/>
        </w:rPr>
        <w:t xml:space="preserve">ra. Az Irányelv a (70) preambulum-bekezdés második </w:t>
      </w:r>
      <w:proofErr w:type="spellStart"/>
      <w:r w:rsidR="00877DC9">
        <w:rPr>
          <w:sz w:val="24"/>
          <w:szCs w:val="24"/>
        </w:rPr>
        <w:t>albekezdésében</w:t>
      </w:r>
      <w:proofErr w:type="spellEnd"/>
      <w:r w:rsidR="00877DC9">
        <w:rPr>
          <w:sz w:val="24"/>
          <w:szCs w:val="24"/>
        </w:rPr>
        <w:t xml:space="preserve"> teszi nyilvánvalóvá, hogy ez nem állna összhangban a 17. Cikke rendelkezéseivel. A szöveg így szól: </w:t>
      </w:r>
    </w:p>
    <w:p w:rsidR="00146956" w:rsidRDefault="00146956" w:rsidP="00146956">
      <w:pPr>
        <w:ind w:left="567"/>
        <w:jc w:val="both"/>
        <w:rPr>
          <w:sz w:val="24"/>
          <w:szCs w:val="24"/>
        </w:rPr>
      </w:pPr>
    </w:p>
    <w:p w:rsidR="00146956" w:rsidRDefault="00146956" w:rsidP="00146956">
      <w:pPr>
        <w:ind w:left="567"/>
        <w:jc w:val="both"/>
        <w:rPr>
          <w:sz w:val="24"/>
          <w:szCs w:val="24"/>
        </w:rPr>
      </w:pPr>
      <w:r w:rsidRPr="00146956">
        <w:rPr>
          <w:sz w:val="24"/>
          <w:szCs w:val="24"/>
        </w:rPr>
        <w:t>Az online tartalommegosztó szolgáltatóknak olyan hatékony és gyors panasztételi és jogorvoslati mechanizmusokat is életbe kell léptetniük, amelyek lehetővé teszik a felhasználók számára, hogy panaszt tegyenek a feltöltéseikkel kapcsolatban tett lépések miatt különösen akkor, ha a hozzáférhetetlenné tett vagy eltávolított feltöltés tekintetében élhetnének valamely szerzői jogi kivétel vagy korlátozás lehetőségével.</w:t>
      </w:r>
    </w:p>
    <w:p w:rsidR="00146956" w:rsidRDefault="00146956" w:rsidP="00146956">
      <w:pPr>
        <w:jc w:val="both"/>
        <w:rPr>
          <w:sz w:val="24"/>
          <w:szCs w:val="24"/>
        </w:rPr>
      </w:pPr>
    </w:p>
    <w:p w:rsidR="006C552E" w:rsidRDefault="00DD2393" w:rsidP="00146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146956">
        <w:rPr>
          <w:sz w:val="24"/>
          <w:szCs w:val="24"/>
        </w:rPr>
        <w:t xml:space="preserve">Ez a preambulum-bekezdés két okból is megerősíti, hogy olyan panasztételi és jogorvoslati mechanizmusról van szó, amely a feltöltött tartalmak már megtörtént hozzáférhetetlenné tétele vagy eltávolítás után alkalmazható. </w:t>
      </w:r>
      <w:r w:rsidR="006C552E">
        <w:rPr>
          <w:sz w:val="24"/>
          <w:szCs w:val="24"/>
        </w:rPr>
        <w:t>M</w:t>
      </w:r>
      <w:r w:rsidR="00146956">
        <w:rPr>
          <w:sz w:val="24"/>
          <w:szCs w:val="24"/>
        </w:rPr>
        <w:t>ár maga a panasztétel fogalmából is ez következik (ami a rendelkezés szövegében is így szerepel); egy panasz szükségképpen valaminek a megtörténtére vonatkozik, a feltöltött tartalom hozzáférhetetlenné tételét, illetve eltávolítását megelőző, az ilyen intézkedések „engedélyezhetőségének” a kérdését tisztázandó előzetes</w:t>
      </w:r>
      <w:r w:rsidR="006C552E">
        <w:rPr>
          <w:sz w:val="24"/>
          <w:szCs w:val="24"/>
        </w:rPr>
        <w:t xml:space="preserve"> eljárás ötlete szöges ellentétben állna ezzel. </w:t>
      </w:r>
      <w:r w:rsidR="00146956">
        <w:rPr>
          <w:sz w:val="24"/>
          <w:szCs w:val="24"/>
        </w:rPr>
        <w:t xml:space="preserve"> </w:t>
      </w:r>
      <w:r w:rsidR="006C552E">
        <w:rPr>
          <w:sz w:val="24"/>
          <w:szCs w:val="24"/>
        </w:rPr>
        <w:t xml:space="preserve">Azonban, ha mégis </w:t>
      </w:r>
      <w:r w:rsidR="00FE2975">
        <w:rPr>
          <w:sz w:val="24"/>
          <w:szCs w:val="24"/>
        </w:rPr>
        <w:t xml:space="preserve">volna </w:t>
      </w:r>
      <w:r w:rsidR="006C552E">
        <w:rPr>
          <w:sz w:val="24"/>
          <w:szCs w:val="24"/>
        </w:rPr>
        <w:t>valamilyen indokolatlan kétely ezzel kapcsolatban</w:t>
      </w:r>
      <w:r w:rsidR="00FE2975">
        <w:rPr>
          <w:sz w:val="24"/>
          <w:szCs w:val="24"/>
        </w:rPr>
        <w:t>,</w:t>
      </w:r>
      <w:r w:rsidR="006C552E">
        <w:rPr>
          <w:sz w:val="24"/>
          <w:szCs w:val="24"/>
        </w:rPr>
        <w:t xml:space="preserve"> a szöveg végleg eloszlatja azt, </w:t>
      </w:r>
      <w:r w:rsidR="00FE2975">
        <w:rPr>
          <w:sz w:val="24"/>
          <w:szCs w:val="24"/>
        </w:rPr>
        <w:t>miután</w:t>
      </w:r>
      <w:r w:rsidR="006C552E">
        <w:rPr>
          <w:sz w:val="24"/>
          <w:szCs w:val="24"/>
        </w:rPr>
        <w:t xml:space="preserve"> nyilvánvalóvá teszi, hogy a felhasználók a „</w:t>
      </w:r>
      <w:r w:rsidR="006C552E" w:rsidRPr="006C552E">
        <w:rPr>
          <w:i/>
          <w:sz w:val="24"/>
          <w:szCs w:val="24"/>
        </w:rPr>
        <w:t xml:space="preserve">hozzáférhetetlenné tett vagy eltávolított </w:t>
      </w:r>
      <w:r w:rsidR="006C552E" w:rsidRPr="00FE2975">
        <w:rPr>
          <w:sz w:val="24"/>
          <w:szCs w:val="24"/>
        </w:rPr>
        <w:t>feltöltés tekintetében</w:t>
      </w:r>
      <w:r w:rsidR="006C552E">
        <w:rPr>
          <w:sz w:val="24"/>
          <w:szCs w:val="24"/>
        </w:rPr>
        <w:t xml:space="preserve">” élhetnek panasszal, tehát akkor, amikor a hozzáférhetetlenné tétel vagy eltávolítás már megtörtént. Az ennek megfelelő útbaigazítást ugyan nem szükséges magának a rendelkezésnek a részévé tenni, az indokolásba viszont, a fent említett </w:t>
      </w:r>
      <w:proofErr w:type="spellStart"/>
      <w:r w:rsidR="006C552E" w:rsidRPr="00654E09">
        <w:rPr>
          <w:i/>
          <w:sz w:val="24"/>
          <w:szCs w:val="24"/>
        </w:rPr>
        <w:t>contra</w:t>
      </w:r>
      <w:proofErr w:type="spellEnd"/>
      <w:r w:rsidR="006C552E" w:rsidRPr="00654E09">
        <w:rPr>
          <w:i/>
          <w:sz w:val="24"/>
          <w:szCs w:val="24"/>
        </w:rPr>
        <w:t xml:space="preserve"> legem</w:t>
      </w:r>
      <w:r w:rsidR="006C552E">
        <w:rPr>
          <w:sz w:val="24"/>
          <w:szCs w:val="24"/>
        </w:rPr>
        <w:t xml:space="preserve"> értelmezési kísérletek elhárítására, </w:t>
      </w:r>
      <w:r w:rsidR="00FE2975">
        <w:rPr>
          <w:sz w:val="24"/>
          <w:szCs w:val="24"/>
        </w:rPr>
        <w:t xml:space="preserve">érdemes </w:t>
      </w:r>
      <w:r w:rsidR="00654E09">
        <w:rPr>
          <w:sz w:val="24"/>
          <w:szCs w:val="24"/>
        </w:rPr>
        <w:t xml:space="preserve">kellene </w:t>
      </w:r>
      <w:r w:rsidR="00FE2975">
        <w:rPr>
          <w:sz w:val="24"/>
          <w:szCs w:val="24"/>
        </w:rPr>
        <w:t>bele</w:t>
      </w:r>
      <w:r w:rsidR="00654E09">
        <w:rPr>
          <w:sz w:val="24"/>
          <w:szCs w:val="24"/>
        </w:rPr>
        <w:t>foglalni</w:t>
      </w:r>
      <w:r w:rsidR="00FE2975">
        <w:rPr>
          <w:sz w:val="24"/>
          <w:szCs w:val="24"/>
        </w:rPr>
        <w:t xml:space="preserve">. </w:t>
      </w:r>
      <w:r w:rsidR="00654E09">
        <w:rPr>
          <w:sz w:val="24"/>
          <w:szCs w:val="24"/>
        </w:rPr>
        <w:t xml:space="preserve">  </w:t>
      </w:r>
      <w:r w:rsidR="006C552E">
        <w:rPr>
          <w:sz w:val="24"/>
          <w:szCs w:val="24"/>
        </w:rPr>
        <w:t xml:space="preserve"> </w:t>
      </w:r>
    </w:p>
    <w:p w:rsidR="00146956" w:rsidRPr="00146956" w:rsidRDefault="00146956" w:rsidP="00146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913CB" w:rsidRPr="000764EB" w:rsidRDefault="00923E53" w:rsidP="00195B20">
      <w:p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A6253E" w:rsidRPr="000764EB">
        <w:rPr>
          <w:i/>
          <w:sz w:val="24"/>
          <w:szCs w:val="24"/>
          <w:u w:val="single"/>
        </w:rPr>
        <w:t>A szerző</w:t>
      </w:r>
      <w:r w:rsidR="00796114" w:rsidRPr="000764EB">
        <w:rPr>
          <w:i/>
          <w:sz w:val="24"/>
          <w:szCs w:val="24"/>
          <w:u w:val="single"/>
        </w:rPr>
        <w:t>k</w:t>
      </w:r>
      <w:r w:rsidR="00A6253E" w:rsidRPr="000764EB">
        <w:rPr>
          <w:i/>
          <w:sz w:val="24"/>
          <w:szCs w:val="24"/>
          <w:u w:val="single"/>
        </w:rPr>
        <w:t xml:space="preserve"> személyhez fűződő jogainak védelme és a paródia </w:t>
      </w:r>
      <w:r w:rsidR="009913CB" w:rsidRPr="000764EB">
        <w:rPr>
          <w:i/>
          <w:sz w:val="24"/>
          <w:szCs w:val="24"/>
          <w:u w:val="single"/>
        </w:rPr>
        <w:t xml:space="preserve"> </w:t>
      </w:r>
    </w:p>
    <w:p w:rsidR="00702B94" w:rsidRPr="000764EB" w:rsidRDefault="00702B94" w:rsidP="00195B20">
      <w:pPr>
        <w:jc w:val="both"/>
        <w:rPr>
          <w:i/>
          <w:sz w:val="24"/>
          <w:szCs w:val="24"/>
        </w:rPr>
      </w:pPr>
    </w:p>
    <w:p w:rsidR="00E904B3" w:rsidRPr="009255F5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904B3" w:rsidRPr="009255F5">
        <w:rPr>
          <w:sz w:val="24"/>
          <w:szCs w:val="24"/>
        </w:rPr>
        <w:t xml:space="preserve">Felesleges </w:t>
      </w:r>
      <w:r>
        <w:rPr>
          <w:sz w:val="24"/>
          <w:szCs w:val="24"/>
        </w:rPr>
        <w:t>bizonygatnom</w:t>
      </w:r>
      <w:r w:rsidR="00E904B3" w:rsidRPr="009255F5">
        <w:rPr>
          <w:sz w:val="24"/>
          <w:szCs w:val="24"/>
        </w:rPr>
        <w:t xml:space="preserve">, hogy alapvetően fontosnak – természet- és emberi jogi gyökerű szerzői jogunk meghatározó elemének – tartom a szerzők személyhez fűződő jogainak a </w:t>
      </w:r>
      <w:r w:rsidR="00621E49">
        <w:rPr>
          <w:sz w:val="24"/>
          <w:szCs w:val="24"/>
        </w:rPr>
        <w:t xml:space="preserve">hatékony </w:t>
      </w:r>
      <w:r w:rsidR="00E904B3" w:rsidRPr="009255F5">
        <w:rPr>
          <w:sz w:val="24"/>
          <w:szCs w:val="24"/>
        </w:rPr>
        <w:t xml:space="preserve">védelmét. Ott ahol álláspontom eltér néhány magyar kollégáimétól és harcostársaimétól, annak – hogyan is fejezzem ki – </w:t>
      </w:r>
      <w:r w:rsidR="0072088E">
        <w:rPr>
          <w:sz w:val="24"/>
          <w:szCs w:val="24"/>
        </w:rPr>
        <w:t>szabályozás</w:t>
      </w:r>
      <w:r w:rsidR="00E904B3" w:rsidRPr="009255F5">
        <w:rPr>
          <w:sz w:val="24"/>
          <w:szCs w:val="24"/>
        </w:rPr>
        <w:t>taktikai okai vannak</w:t>
      </w:r>
      <w:r w:rsidR="00621E49">
        <w:rPr>
          <w:sz w:val="24"/>
          <w:szCs w:val="24"/>
        </w:rPr>
        <w:t xml:space="preserve">. </w:t>
      </w:r>
      <w:r w:rsidR="00E904B3" w:rsidRPr="009255F5">
        <w:rPr>
          <w:sz w:val="24"/>
          <w:szCs w:val="24"/>
        </w:rPr>
        <w:t xml:space="preserve"> </w:t>
      </w:r>
    </w:p>
    <w:p w:rsidR="00E904B3" w:rsidRPr="009255F5" w:rsidRDefault="00E904B3" w:rsidP="00195B20">
      <w:pPr>
        <w:jc w:val="both"/>
        <w:rPr>
          <w:sz w:val="24"/>
          <w:szCs w:val="24"/>
        </w:rPr>
      </w:pPr>
    </w:p>
    <w:p w:rsidR="00F87FE2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E904B3" w:rsidRPr="009255F5">
        <w:rPr>
          <w:sz w:val="24"/>
          <w:szCs w:val="24"/>
        </w:rPr>
        <w:t xml:space="preserve">A paródia és a személyhez fűződő jogok szabályozásának témakörében nem annyira a névfeltüntetés, mint jóval inkább a mű </w:t>
      </w:r>
      <w:r w:rsidR="00EB03B6" w:rsidRPr="009255F5">
        <w:rPr>
          <w:sz w:val="24"/>
          <w:szCs w:val="24"/>
        </w:rPr>
        <w:t>integritásának a védelme merül fel vitatott kérdésként</w:t>
      </w:r>
      <w:r w:rsidR="00621E49">
        <w:rPr>
          <w:sz w:val="24"/>
          <w:szCs w:val="24"/>
        </w:rPr>
        <w:t>.</w:t>
      </w:r>
      <w:r w:rsidR="00EB03B6" w:rsidRPr="009255F5">
        <w:rPr>
          <w:sz w:val="24"/>
          <w:szCs w:val="24"/>
        </w:rPr>
        <w:t xml:space="preserve"> (</w:t>
      </w:r>
      <w:r w:rsidR="00621E49">
        <w:rPr>
          <w:sz w:val="24"/>
          <w:szCs w:val="24"/>
        </w:rPr>
        <w:t>T</w:t>
      </w:r>
      <w:r w:rsidR="00EB03B6" w:rsidRPr="009255F5">
        <w:rPr>
          <w:sz w:val="24"/>
          <w:szCs w:val="24"/>
        </w:rPr>
        <w:t xml:space="preserve">udom, hogy hivatalosan a mű </w:t>
      </w:r>
      <w:r w:rsidR="00621E49">
        <w:rPr>
          <w:sz w:val="24"/>
          <w:szCs w:val="24"/>
        </w:rPr>
        <w:t>„</w:t>
      </w:r>
      <w:r w:rsidR="00EB03B6" w:rsidRPr="009255F5">
        <w:rPr>
          <w:sz w:val="24"/>
          <w:szCs w:val="24"/>
        </w:rPr>
        <w:t>egységéről</w:t>
      </w:r>
      <w:r w:rsidR="00621E49">
        <w:rPr>
          <w:sz w:val="24"/>
          <w:szCs w:val="24"/>
        </w:rPr>
        <w:t>”</w:t>
      </w:r>
      <w:r w:rsidR="00EB03B6" w:rsidRPr="009255F5">
        <w:rPr>
          <w:sz w:val="24"/>
          <w:szCs w:val="24"/>
        </w:rPr>
        <w:t xml:space="preserve"> beszélünk, de úgy vélem, az „integritás” szó, </w:t>
      </w:r>
      <w:r w:rsidR="001103C5" w:rsidRPr="009255F5">
        <w:rPr>
          <w:sz w:val="24"/>
          <w:szCs w:val="24"/>
        </w:rPr>
        <w:t xml:space="preserve">bár </w:t>
      </w:r>
      <w:r w:rsidR="00EB03B6" w:rsidRPr="009255F5">
        <w:rPr>
          <w:sz w:val="24"/>
          <w:szCs w:val="24"/>
        </w:rPr>
        <w:t>idegen eredetű, jobban kifejezi</w:t>
      </w:r>
      <w:r w:rsidR="0072088E">
        <w:rPr>
          <w:sz w:val="24"/>
          <w:szCs w:val="24"/>
        </w:rPr>
        <w:t xml:space="preserve">, mit kívánunk </w:t>
      </w:r>
      <w:proofErr w:type="gramStart"/>
      <w:r w:rsidR="00EB03B6" w:rsidRPr="009255F5">
        <w:rPr>
          <w:sz w:val="24"/>
          <w:szCs w:val="24"/>
        </w:rPr>
        <w:t>véde</w:t>
      </w:r>
      <w:r w:rsidR="0072088E">
        <w:rPr>
          <w:sz w:val="24"/>
          <w:szCs w:val="24"/>
        </w:rPr>
        <w:t>ni</w:t>
      </w:r>
      <w:r w:rsidR="00BC1578" w:rsidRPr="009255F5">
        <w:rPr>
          <w:rStyle w:val="Lbjegyzet-hivatkozs"/>
          <w:sz w:val="24"/>
          <w:szCs w:val="24"/>
        </w:rPr>
        <w:footnoteReference w:id="3"/>
      </w:r>
      <w:r w:rsidR="00A2472D">
        <w:rPr>
          <w:sz w:val="24"/>
          <w:szCs w:val="24"/>
        </w:rPr>
        <w:t>.</w:t>
      </w:r>
      <w:proofErr w:type="gramEnd"/>
      <w:r w:rsidR="00EB03B6" w:rsidRPr="009255F5">
        <w:rPr>
          <w:sz w:val="24"/>
          <w:szCs w:val="24"/>
        </w:rPr>
        <w:t>)</w:t>
      </w:r>
      <w:r w:rsidR="001103C5" w:rsidRPr="009255F5">
        <w:rPr>
          <w:sz w:val="24"/>
          <w:szCs w:val="24"/>
        </w:rPr>
        <w:t xml:space="preserve"> </w:t>
      </w:r>
      <w:r w:rsidR="00C63D26">
        <w:rPr>
          <w:sz w:val="24"/>
          <w:szCs w:val="24"/>
        </w:rPr>
        <w:t xml:space="preserve"> </w:t>
      </w:r>
    </w:p>
    <w:p w:rsidR="00F87FE2" w:rsidRDefault="00F87FE2" w:rsidP="00195B20">
      <w:pPr>
        <w:jc w:val="both"/>
        <w:rPr>
          <w:sz w:val="24"/>
          <w:szCs w:val="24"/>
        </w:rPr>
      </w:pPr>
    </w:p>
    <w:p w:rsidR="00F87FE2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FA59C9">
        <w:rPr>
          <w:sz w:val="24"/>
          <w:szCs w:val="24"/>
        </w:rPr>
        <w:t>Fentebb, más összefüggésben, utaltam a</w:t>
      </w:r>
      <w:r w:rsidR="00144C16">
        <w:rPr>
          <w:sz w:val="24"/>
          <w:szCs w:val="24"/>
        </w:rPr>
        <w:t xml:space="preserve">z </w:t>
      </w:r>
      <w:r w:rsidR="00FD7B0C" w:rsidRPr="009255F5">
        <w:rPr>
          <w:sz w:val="24"/>
          <w:szCs w:val="24"/>
        </w:rPr>
        <w:t xml:space="preserve">ALAI VB által létrehozott munkacsoport véleményére. A vélemény </w:t>
      </w:r>
      <w:r w:rsidR="009769C7" w:rsidRPr="009255F5">
        <w:rPr>
          <w:sz w:val="24"/>
          <w:szCs w:val="24"/>
        </w:rPr>
        <w:t xml:space="preserve">3. </w:t>
      </w:r>
      <w:r w:rsidR="00FD7B0C" w:rsidRPr="009255F5">
        <w:rPr>
          <w:sz w:val="24"/>
          <w:szCs w:val="24"/>
        </w:rPr>
        <w:t xml:space="preserve">oldalán </w:t>
      </w:r>
      <w:r w:rsidR="009769C7" w:rsidRPr="009255F5">
        <w:rPr>
          <w:sz w:val="24"/>
          <w:szCs w:val="24"/>
        </w:rPr>
        <w:t xml:space="preserve">a 4. pont első bekezdésének a végén </w:t>
      </w:r>
      <w:r w:rsidR="00FD7B0C" w:rsidRPr="009255F5">
        <w:rPr>
          <w:sz w:val="24"/>
          <w:szCs w:val="24"/>
        </w:rPr>
        <w:t xml:space="preserve">szerepel egy mondat, amely így szól: </w:t>
      </w:r>
      <w:r w:rsidR="009255F5">
        <w:rPr>
          <w:sz w:val="24"/>
          <w:szCs w:val="24"/>
        </w:rPr>
        <w:t>„</w:t>
      </w:r>
      <w:proofErr w:type="spellStart"/>
      <w:r w:rsidR="009255F5" w:rsidRPr="009255F5">
        <w:rPr>
          <w:sz w:val="24"/>
          <w:szCs w:val="24"/>
        </w:rPr>
        <w:t>But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this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balancing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will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have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to</w:t>
      </w:r>
      <w:proofErr w:type="spellEnd"/>
      <w:r w:rsidR="009255F5" w:rsidRPr="009255F5">
        <w:rPr>
          <w:sz w:val="24"/>
          <w:szCs w:val="24"/>
        </w:rPr>
        <w:t xml:space="preserve"> be </w:t>
      </w:r>
      <w:proofErr w:type="spellStart"/>
      <w:r w:rsidR="009255F5" w:rsidRPr="009255F5">
        <w:rPr>
          <w:sz w:val="24"/>
          <w:szCs w:val="24"/>
        </w:rPr>
        <w:t>done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within</w:t>
      </w:r>
      <w:proofErr w:type="spellEnd"/>
      <w:r w:rsidR="009255F5" w:rsidRPr="009255F5">
        <w:rPr>
          <w:sz w:val="24"/>
          <w:szCs w:val="24"/>
        </w:rPr>
        <w:t xml:space="preserve"> copyright </w:t>
      </w:r>
      <w:proofErr w:type="spellStart"/>
      <w:r w:rsidR="009255F5" w:rsidRPr="009255F5">
        <w:rPr>
          <w:sz w:val="24"/>
          <w:szCs w:val="24"/>
        </w:rPr>
        <w:t>law</w:t>
      </w:r>
      <w:proofErr w:type="spellEnd"/>
      <w:r w:rsidR="009255F5" w:rsidRPr="009255F5">
        <w:rPr>
          <w:sz w:val="24"/>
          <w:szCs w:val="24"/>
        </w:rPr>
        <w:t xml:space="preserve">, </w:t>
      </w:r>
      <w:proofErr w:type="spellStart"/>
      <w:r w:rsidR="009255F5" w:rsidRPr="009255F5">
        <w:rPr>
          <w:sz w:val="24"/>
          <w:szCs w:val="24"/>
        </w:rPr>
        <w:t>in</w:t>
      </w:r>
      <w:proofErr w:type="spellEnd"/>
      <w:r w:rsidR="009255F5" w:rsidRPr="009255F5">
        <w:rPr>
          <w:sz w:val="24"/>
          <w:szCs w:val="24"/>
        </w:rPr>
        <w:t xml:space="preserve"> an </w:t>
      </w:r>
      <w:proofErr w:type="spellStart"/>
      <w:r w:rsidR="009255F5" w:rsidRPr="009255F5">
        <w:rPr>
          <w:sz w:val="24"/>
          <w:szCs w:val="24"/>
        </w:rPr>
        <w:t>adequate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manner</w:t>
      </w:r>
      <w:proofErr w:type="spellEnd"/>
      <w:r w:rsidR="009255F5" w:rsidRPr="009255F5">
        <w:rPr>
          <w:sz w:val="24"/>
          <w:szCs w:val="24"/>
        </w:rPr>
        <w:t xml:space="preserve"> and </w:t>
      </w:r>
      <w:proofErr w:type="spellStart"/>
      <w:r w:rsidR="009255F5" w:rsidRPr="009255F5">
        <w:rPr>
          <w:sz w:val="24"/>
          <w:szCs w:val="24"/>
        </w:rPr>
        <w:t>in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the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same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way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as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in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the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case</w:t>
      </w:r>
      <w:proofErr w:type="spellEnd"/>
      <w:r w:rsidR="009255F5" w:rsidRPr="009255F5">
        <w:rPr>
          <w:sz w:val="24"/>
          <w:szCs w:val="24"/>
        </w:rPr>
        <w:t xml:space="preserve"> of </w:t>
      </w:r>
      <w:proofErr w:type="spellStart"/>
      <w:r w:rsidR="009255F5" w:rsidRPr="009255F5">
        <w:rPr>
          <w:sz w:val="24"/>
          <w:szCs w:val="24"/>
        </w:rPr>
        <w:t>other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exceptions</w:t>
      </w:r>
      <w:proofErr w:type="spellEnd"/>
      <w:r w:rsidR="009255F5" w:rsidRPr="009255F5">
        <w:rPr>
          <w:sz w:val="24"/>
          <w:szCs w:val="24"/>
        </w:rPr>
        <w:t xml:space="preserve"> and </w:t>
      </w:r>
      <w:proofErr w:type="spellStart"/>
      <w:r w:rsidR="009255F5" w:rsidRPr="009255F5">
        <w:rPr>
          <w:sz w:val="24"/>
          <w:szCs w:val="24"/>
        </w:rPr>
        <w:t>limitations</w:t>
      </w:r>
      <w:proofErr w:type="spellEnd"/>
      <w:r w:rsidR="009255F5" w:rsidRPr="009255F5">
        <w:rPr>
          <w:sz w:val="24"/>
          <w:szCs w:val="24"/>
        </w:rPr>
        <w:t xml:space="preserve">, </w:t>
      </w:r>
      <w:proofErr w:type="spellStart"/>
      <w:r w:rsidR="009255F5" w:rsidRPr="009255F5">
        <w:rPr>
          <w:sz w:val="24"/>
          <w:szCs w:val="24"/>
        </w:rPr>
        <w:t>according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to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existing</w:t>
      </w:r>
      <w:proofErr w:type="spellEnd"/>
      <w:r w:rsidR="009255F5" w:rsidRPr="009255F5">
        <w:rPr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legal</w:t>
      </w:r>
      <w:proofErr w:type="spellEnd"/>
      <w:r w:rsidR="009255F5" w:rsidRPr="009255F5">
        <w:rPr>
          <w:spacing w:val="-9"/>
          <w:sz w:val="24"/>
          <w:szCs w:val="24"/>
        </w:rPr>
        <w:t xml:space="preserve"> </w:t>
      </w:r>
      <w:proofErr w:type="spellStart"/>
      <w:r w:rsidR="009255F5" w:rsidRPr="009255F5">
        <w:rPr>
          <w:sz w:val="24"/>
          <w:szCs w:val="24"/>
        </w:rPr>
        <w:t>norms</w:t>
      </w:r>
      <w:proofErr w:type="spellEnd"/>
      <w:r w:rsidR="009255F5" w:rsidRPr="009255F5">
        <w:rPr>
          <w:sz w:val="24"/>
          <w:szCs w:val="24"/>
        </w:rPr>
        <w:t>.</w:t>
      </w:r>
      <w:r w:rsidR="009255F5">
        <w:rPr>
          <w:sz w:val="24"/>
          <w:szCs w:val="24"/>
        </w:rPr>
        <w:t xml:space="preserve">” </w:t>
      </w:r>
      <w:r w:rsidR="00C63D26">
        <w:rPr>
          <w:sz w:val="24"/>
          <w:szCs w:val="24"/>
        </w:rPr>
        <w:t>A mondat azt a</w:t>
      </w:r>
      <w:r w:rsidR="00F87FE2">
        <w:rPr>
          <w:sz w:val="24"/>
          <w:szCs w:val="24"/>
        </w:rPr>
        <w:t xml:space="preserve">z alaptalan </w:t>
      </w:r>
      <w:r w:rsidR="00C63D26">
        <w:rPr>
          <w:sz w:val="24"/>
          <w:szCs w:val="24"/>
        </w:rPr>
        <w:t>„</w:t>
      </w:r>
      <w:proofErr w:type="spellStart"/>
      <w:r w:rsidR="00C63D26">
        <w:rPr>
          <w:sz w:val="24"/>
          <w:szCs w:val="24"/>
        </w:rPr>
        <w:t>copyleft</w:t>
      </w:r>
      <w:proofErr w:type="spellEnd"/>
      <w:r w:rsidR="00C63D26">
        <w:rPr>
          <w:sz w:val="24"/>
          <w:szCs w:val="24"/>
        </w:rPr>
        <w:t>” véleményt utasítja vissza, hogy</w:t>
      </w:r>
      <w:r w:rsidR="00F87FE2">
        <w:rPr>
          <w:sz w:val="24"/>
          <w:szCs w:val="24"/>
        </w:rPr>
        <w:t xml:space="preserve"> a DSM Irányelv 17. Cikkének (7) és (9) bekezdése alapján </w:t>
      </w:r>
      <w:r w:rsidR="008A7099">
        <w:rPr>
          <w:sz w:val="24"/>
          <w:szCs w:val="24"/>
        </w:rPr>
        <w:t xml:space="preserve">a szabad felhasználások </w:t>
      </w:r>
      <w:r w:rsidR="00F87FE2">
        <w:rPr>
          <w:sz w:val="24"/>
          <w:szCs w:val="24"/>
        </w:rPr>
        <w:t xml:space="preserve">új </w:t>
      </w:r>
      <w:r w:rsidR="008A7099">
        <w:rPr>
          <w:sz w:val="24"/>
          <w:szCs w:val="24"/>
        </w:rPr>
        <w:t>fajtái jönnek létre,</w:t>
      </w:r>
      <w:r w:rsidR="00F87FE2">
        <w:rPr>
          <w:sz w:val="24"/>
          <w:szCs w:val="24"/>
        </w:rPr>
        <w:t xml:space="preserve"> </w:t>
      </w:r>
      <w:r w:rsidR="008A7099">
        <w:rPr>
          <w:sz w:val="24"/>
          <w:szCs w:val="24"/>
        </w:rPr>
        <w:t xml:space="preserve">amelyek valójában nem is tekinthetők kivételeknek, hanem </w:t>
      </w:r>
      <w:r w:rsidR="00F87FE2">
        <w:rPr>
          <w:sz w:val="24"/>
          <w:szCs w:val="24"/>
        </w:rPr>
        <w:t>„felhasználói jogok</w:t>
      </w:r>
      <w:r w:rsidR="008A7099">
        <w:rPr>
          <w:sz w:val="24"/>
          <w:szCs w:val="24"/>
        </w:rPr>
        <w:t>nak</w:t>
      </w:r>
      <w:r w:rsidR="00F87FE2">
        <w:rPr>
          <w:sz w:val="24"/>
          <w:szCs w:val="24"/>
        </w:rPr>
        <w:t>” („</w:t>
      </w:r>
      <w:proofErr w:type="spellStart"/>
      <w:r w:rsidR="00F87FE2">
        <w:rPr>
          <w:sz w:val="24"/>
          <w:szCs w:val="24"/>
        </w:rPr>
        <w:t>users</w:t>
      </w:r>
      <w:proofErr w:type="spellEnd"/>
      <w:r w:rsidR="00F87FE2">
        <w:rPr>
          <w:sz w:val="24"/>
          <w:szCs w:val="24"/>
        </w:rPr>
        <w:t xml:space="preserve">’ </w:t>
      </w:r>
      <w:proofErr w:type="spellStart"/>
      <w:r w:rsidR="00F87FE2">
        <w:rPr>
          <w:sz w:val="24"/>
          <w:szCs w:val="24"/>
        </w:rPr>
        <w:t>rights</w:t>
      </w:r>
      <w:proofErr w:type="spellEnd"/>
      <w:r w:rsidR="00F87FE2">
        <w:rPr>
          <w:sz w:val="24"/>
          <w:szCs w:val="24"/>
        </w:rPr>
        <w:t>”)</w:t>
      </w:r>
      <w:r w:rsidR="008A7099">
        <w:rPr>
          <w:sz w:val="24"/>
          <w:szCs w:val="24"/>
        </w:rPr>
        <w:t>; olyan „jogoknak”, amelyek a szerzői jog hagyományos normáival szemben, azokhoz képest „</w:t>
      </w:r>
      <w:proofErr w:type="spellStart"/>
      <w:r w:rsidR="008A7099">
        <w:rPr>
          <w:sz w:val="24"/>
          <w:szCs w:val="24"/>
        </w:rPr>
        <w:t>externalitásokként</w:t>
      </w:r>
      <w:proofErr w:type="spellEnd"/>
      <w:r w:rsidR="008A7099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közvetlenül </w:t>
      </w:r>
      <w:r w:rsidR="008A7099">
        <w:rPr>
          <w:sz w:val="24"/>
          <w:szCs w:val="24"/>
        </w:rPr>
        <w:t>bizonyos alapjogokra támaszkodnak.  (A „</w:t>
      </w:r>
      <w:proofErr w:type="spellStart"/>
      <w:r w:rsidR="008A7099">
        <w:rPr>
          <w:sz w:val="24"/>
          <w:szCs w:val="24"/>
        </w:rPr>
        <w:t>copyleft</w:t>
      </w:r>
      <w:proofErr w:type="spellEnd"/>
      <w:r w:rsidR="008A7099">
        <w:rPr>
          <w:sz w:val="24"/>
          <w:szCs w:val="24"/>
        </w:rPr>
        <w:t>” elmélettel szemben tény az, hogy a szerzői jog, ott ahol ez indokolt</w:t>
      </w:r>
      <w:r w:rsidR="00C272CD">
        <w:rPr>
          <w:sz w:val="24"/>
          <w:szCs w:val="24"/>
        </w:rPr>
        <w:t>nak bizonyult</w:t>
      </w:r>
      <w:r w:rsidR="00BA2A64">
        <w:rPr>
          <w:sz w:val="24"/>
          <w:szCs w:val="24"/>
        </w:rPr>
        <w:t xml:space="preserve">, mindig </w:t>
      </w:r>
      <w:r w:rsidR="00C272CD">
        <w:rPr>
          <w:sz w:val="24"/>
          <w:szCs w:val="24"/>
        </w:rPr>
        <w:t xml:space="preserve">megfelelő egyensúlyt volt képes kialakítani a többi </w:t>
      </w:r>
      <w:r w:rsidR="00BA2A64">
        <w:rPr>
          <w:sz w:val="24"/>
          <w:szCs w:val="24"/>
        </w:rPr>
        <w:t>emberi jog</w:t>
      </w:r>
      <w:r w:rsidR="00C272CD">
        <w:rPr>
          <w:sz w:val="24"/>
          <w:szCs w:val="24"/>
        </w:rPr>
        <w:t>gal</w:t>
      </w:r>
      <w:r w:rsidR="00BA2A64">
        <w:rPr>
          <w:sz w:val="24"/>
          <w:szCs w:val="24"/>
        </w:rPr>
        <w:t xml:space="preserve"> és a közösségi érdek</w:t>
      </w:r>
      <w:r w:rsidR="00C272CD">
        <w:rPr>
          <w:sz w:val="24"/>
          <w:szCs w:val="24"/>
        </w:rPr>
        <w:t>ekkel</w:t>
      </w:r>
      <w:r w:rsidR="00BA2A64">
        <w:rPr>
          <w:sz w:val="24"/>
          <w:szCs w:val="24"/>
        </w:rPr>
        <w:t xml:space="preserve"> </w:t>
      </w:r>
      <w:r w:rsidR="00C272CD">
        <w:rPr>
          <w:sz w:val="24"/>
          <w:szCs w:val="24"/>
        </w:rPr>
        <w:t xml:space="preserve">kivételek és korlátozások formájában, ide értve az ezt szolgáló három-lépéses teszt általános szabályait is; </w:t>
      </w:r>
      <w:r>
        <w:rPr>
          <w:sz w:val="24"/>
          <w:szCs w:val="24"/>
        </w:rPr>
        <w:t xml:space="preserve">így </w:t>
      </w:r>
      <w:r w:rsidR="00C272CD">
        <w:rPr>
          <w:sz w:val="24"/>
          <w:szCs w:val="24"/>
        </w:rPr>
        <w:t xml:space="preserve">ha szükség van további finomhangolásra, semmi akadálya, hogy az továbbra is a szerzői jog keretein belül történjen meg).   </w:t>
      </w:r>
      <w:r w:rsidR="00BA2A64">
        <w:rPr>
          <w:sz w:val="24"/>
          <w:szCs w:val="24"/>
        </w:rPr>
        <w:t xml:space="preserve">    </w:t>
      </w:r>
    </w:p>
    <w:p w:rsidR="00F87FE2" w:rsidRDefault="00F87FE2" w:rsidP="00195B20">
      <w:pPr>
        <w:jc w:val="both"/>
        <w:rPr>
          <w:sz w:val="24"/>
          <w:szCs w:val="24"/>
        </w:rPr>
      </w:pPr>
    </w:p>
    <w:p w:rsidR="00C272CD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255F5">
        <w:rPr>
          <w:sz w:val="24"/>
          <w:szCs w:val="24"/>
        </w:rPr>
        <w:t xml:space="preserve">A legutóbbi ALAI kongresszuson, Prágában a múlt év szeptemberében </w:t>
      </w:r>
      <w:r w:rsidR="001E51AD">
        <w:rPr>
          <w:sz w:val="24"/>
          <w:szCs w:val="24"/>
        </w:rPr>
        <w:t>Paul</w:t>
      </w:r>
      <w:r w:rsidR="009255F5">
        <w:rPr>
          <w:sz w:val="24"/>
          <w:szCs w:val="24"/>
        </w:rPr>
        <w:t xml:space="preserve"> Torremans tartotta az összefoglalót</w:t>
      </w:r>
      <w:r w:rsidR="00562E0A">
        <w:rPr>
          <w:sz w:val="24"/>
          <w:szCs w:val="24"/>
        </w:rPr>
        <w:t>. Az</w:t>
      </w:r>
      <w:r w:rsidR="00144C16">
        <w:rPr>
          <w:sz w:val="24"/>
          <w:szCs w:val="24"/>
        </w:rPr>
        <w:t xml:space="preserve"> </w:t>
      </w:r>
      <w:r w:rsidR="00562E0A">
        <w:rPr>
          <w:sz w:val="24"/>
          <w:szCs w:val="24"/>
        </w:rPr>
        <w:t xml:space="preserve">a </w:t>
      </w:r>
      <w:r w:rsidR="00FA59C9">
        <w:rPr>
          <w:sz w:val="24"/>
          <w:szCs w:val="24"/>
        </w:rPr>
        <w:t xml:space="preserve">– </w:t>
      </w:r>
      <w:r w:rsidR="00562E0A">
        <w:rPr>
          <w:sz w:val="24"/>
          <w:szCs w:val="24"/>
        </w:rPr>
        <w:t xml:space="preserve">fentiekkel </w:t>
      </w:r>
      <w:r w:rsidR="00621E49">
        <w:rPr>
          <w:sz w:val="24"/>
          <w:szCs w:val="24"/>
        </w:rPr>
        <w:t>összhangban álló</w:t>
      </w:r>
      <w:r w:rsidR="00FA59C9">
        <w:rPr>
          <w:sz w:val="24"/>
          <w:szCs w:val="24"/>
        </w:rPr>
        <w:t xml:space="preserve"> – </w:t>
      </w:r>
      <w:r w:rsidR="009255F5">
        <w:rPr>
          <w:sz w:val="24"/>
          <w:szCs w:val="24"/>
        </w:rPr>
        <w:t>kijelentése aratta</w:t>
      </w:r>
      <w:r w:rsidR="00562E0A">
        <w:rPr>
          <w:sz w:val="24"/>
          <w:szCs w:val="24"/>
        </w:rPr>
        <w:t xml:space="preserve"> a</w:t>
      </w:r>
      <w:r w:rsidR="009255F5">
        <w:rPr>
          <w:sz w:val="24"/>
          <w:szCs w:val="24"/>
        </w:rPr>
        <w:t xml:space="preserve"> legnagyobb tetszést, amely szerint nincs szükség a szerzői jogi kérdések</w:t>
      </w:r>
      <w:r w:rsidR="00621E49">
        <w:rPr>
          <w:sz w:val="24"/>
          <w:szCs w:val="24"/>
        </w:rPr>
        <w:t xml:space="preserve"> </w:t>
      </w:r>
      <w:r w:rsidR="00FA59C9">
        <w:rPr>
          <w:sz w:val="24"/>
          <w:szCs w:val="24"/>
        </w:rPr>
        <w:t>„</w:t>
      </w:r>
      <w:proofErr w:type="spellStart"/>
      <w:r w:rsidR="00FA59C9">
        <w:rPr>
          <w:sz w:val="24"/>
          <w:szCs w:val="24"/>
        </w:rPr>
        <w:t>externalitások</w:t>
      </w:r>
      <w:proofErr w:type="spellEnd"/>
      <w:r w:rsidR="00FA59C9">
        <w:rPr>
          <w:sz w:val="24"/>
          <w:szCs w:val="24"/>
        </w:rPr>
        <w:t>”</w:t>
      </w:r>
      <w:r w:rsidR="00621E49">
        <w:rPr>
          <w:sz w:val="24"/>
          <w:szCs w:val="24"/>
        </w:rPr>
        <w:t>, vagyis szerzői jogon kívüli szempontok alapján történő rendezésére</w:t>
      </w:r>
      <w:r w:rsidR="00FA59C9">
        <w:rPr>
          <w:sz w:val="24"/>
          <w:szCs w:val="24"/>
        </w:rPr>
        <w:t xml:space="preserve">. Rámutatott, hogy </w:t>
      </w:r>
      <w:r w:rsidR="00621E49">
        <w:rPr>
          <w:sz w:val="24"/>
          <w:szCs w:val="24"/>
        </w:rPr>
        <w:t>a szerzői jog meglevő szabályai alkalmasak erre, s ha még</w:t>
      </w:r>
      <w:r w:rsidR="00562E0A">
        <w:rPr>
          <w:sz w:val="24"/>
          <w:szCs w:val="24"/>
        </w:rPr>
        <w:t xml:space="preserve">sem </w:t>
      </w:r>
      <w:r w:rsidR="00621E49">
        <w:rPr>
          <w:sz w:val="24"/>
          <w:szCs w:val="24"/>
        </w:rPr>
        <w:t>lenne így, alkalmassá kell tenni azokat</w:t>
      </w:r>
      <w:r w:rsidR="00FA59C9">
        <w:rPr>
          <w:sz w:val="24"/>
          <w:szCs w:val="24"/>
        </w:rPr>
        <w:t xml:space="preserve">; </w:t>
      </w:r>
      <w:r w:rsidR="00621E49">
        <w:rPr>
          <w:sz w:val="24"/>
          <w:szCs w:val="24"/>
        </w:rPr>
        <w:t>az esetleges</w:t>
      </w:r>
      <w:r w:rsidR="00FA59C9">
        <w:rPr>
          <w:sz w:val="24"/>
          <w:szCs w:val="24"/>
        </w:rPr>
        <w:t>en szóba jöhető</w:t>
      </w:r>
      <w:r w:rsidR="00621E49">
        <w:rPr>
          <w:sz w:val="24"/>
          <w:szCs w:val="24"/>
        </w:rPr>
        <w:t xml:space="preserve"> „</w:t>
      </w:r>
      <w:proofErr w:type="spellStart"/>
      <w:r w:rsidR="00621E49">
        <w:rPr>
          <w:sz w:val="24"/>
          <w:szCs w:val="24"/>
        </w:rPr>
        <w:t>externalitásokat</w:t>
      </w:r>
      <w:proofErr w:type="spellEnd"/>
      <w:r w:rsidR="00621E49">
        <w:rPr>
          <w:sz w:val="24"/>
          <w:szCs w:val="24"/>
        </w:rPr>
        <w:t xml:space="preserve">” </w:t>
      </w:r>
      <w:r w:rsidR="00562E0A">
        <w:rPr>
          <w:sz w:val="24"/>
          <w:szCs w:val="24"/>
        </w:rPr>
        <w:t>be kell hozni a szerzői jog keretei közé</w:t>
      </w:r>
      <w:r w:rsidR="00C272CD">
        <w:rPr>
          <w:sz w:val="24"/>
          <w:szCs w:val="24"/>
        </w:rPr>
        <w:t>.</w:t>
      </w:r>
      <w:r w:rsidR="001E51AD">
        <w:rPr>
          <w:rStyle w:val="Lbjegyzet-hivatkozs"/>
          <w:sz w:val="24"/>
          <w:szCs w:val="24"/>
        </w:rPr>
        <w:footnoteReference w:id="4"/>
      </w:r>
      <w:r w:rsidR="00C272CD">
        <w:rPr>
          <w:sz w:val="24"/>
          <w:szCs w:val="24"/>
        </w:rPr>
        <w:t xml:space="preserve"> </w:t>
      </w:r>
    </w:p>
    <w:p w:rsidR="00C272CD" w:rsidRDefault="00C272CD" w:rsidP="00195B20">
      <w:pPr>
        <w:jc w:val="both"/>
        <w:rPr>
          <w:sz w:val="24"/>
          <w:szCs w:val="24"/>
        </w:rPr>
      </w:pPr>
    </w:p>
    <w:p w:rsidR="0072088E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562E0A">
        <w:rPr>
          <w:sz w:val="24"/>
          <w:szCs w:val="24"/>
        </w:rPr>
        <w:t xml:space="preserve"> Végül megemlítem, hogy hasonló irányba mutatott – a szellemi tulajdonvédelmi jogok </w:t>
      </w:r>
      <w:r w:rsidR="00FA59C9">
        <w:rPr>
          <w:sz w:val="24"/>
          <w:szCs w:val="24"/>
        </w:rPr>
        <w:t xml:space="preserve">általánosabb </w:t>
      </w:r>
      <w:r w:rsidR="00562E0A">
        <w:rPr>
          <w:sz w:val="24"/>
          <w:szCs w:val="24"/>
        </w:rPr>
        <w:t xml:space="preserve">szintjén – a WTO első nagy IP vitarendezési ügyében 2000-ben elfogadott </w:t>
      </w:r>
      <w:r w:rsidR="00125C93">
        <w:rPr>
          <w:sz w:val="24"/>
          <w:szCs w:val="24"/>
        </w:rPr>
        <w:t xml:space="preserve">paneljegyzőkönyv </w:t>
      </w:r>
      <w:r w:rsidR="00562E0A">
        <w:rPr>
          <w:sz w:val="24"/>
          <w:szCs w:val="24"/>
        </w:rPr>
        <w:t xml:space="preserve">is. A </w:t>
      </w:r>
      <w:proofErr w:type="spellStart"/>
      <w:r w:rsidR="00562E0A">
        <w:rPr>
          <w:sz w:val="24"/>
          <w:szCs w:val="24"/>
        </w:rPr>
        <w:t>TRIPs</w:t>
      </w:r>
      <w:proofErr w:type="spellEnd"/>
      <w:r w:rsidR="00562E0A">
        <w:rPr>
          <w:sz w:val="24"/>
          <w:szCs w:val="24"/>
        </w:rPr>
        <w:t xml:space="preserve"> Megállapodás 30. cikke szerinti változatban</w:t>
      </w:r>
      <w:r w:rsidR="00125C93">
        <w:rPr>
          <w:sz w:val="24"/>
          <w:szCs w:val="24"/>
        </w:rPr>
        <w:t>,</w:t>
      </w:r>
      <w:r w:rsidR="00562E0A">
        <w:rPr>
          <w:sz w:val="24"/>
          <w:szCs w:val="24"/>
        </w:rPr>
        <w:t xml:space="preserve"> </w:t>
      </w:r>
      <w:r w:rsidR="00125C93">
        <w:rPr>
          <w:sz w:val="24"/>
          <w:szCs w:val="24"/>
        </w:rPr>
        <w:t xml:space="preserve">a szabadalmi jogokra vonatkozó kivételeket illetően értelmeztük a </w:t>
      </w:r>
      <w:r w:rsidR="00562E0A">
        <w:rPr>
          <w:sz w:val="24"/>
          <w:szCs w:val="24"/>
        </w:rPr>
        <w:t xml:space="preserve">háromlépéses tesztet egy amerikai kereskedelmi jogi </w:t>
      </w:r>
      <w:r w:rsidR="003024B6">
        <w:rPr>
          <w:sz w:val="24"/>
          <w:szCs w:val="24"/>
        </w:rPr>
        <w:t xml:space="preserve">professorral </w:t>
      </w:r>
      <w:r w:rsidR="00562E0A">
        <w:rPr>
          <w:sz w:val="24"/>
          <w:szCs w:val="24"/>
        </w:rPr>
        <w:t xml:space="preserve">és egy mexikói </w:t>
      </w:r>
      <w:r w:rsidR="003024B6">
        <w:rPr>
          <w:sz w:val="24"/>
          <w:szCs w:val="24"/>
        </w:rPr>
        <w:t>egészségügyi szakemberrel (miután gyógyszerszabadalmak</w:t>
      </w:r>
      <w:r w:rsidR="001E51AD">
        <w:rPr>
          <w:sz w:val="24"/>
          <w:szCs w:val="24"/>
        </w:rPr>
        <w:t>at érintett a vita</w:t>
      </w:r>
      <w:r w:rsidR="003024B6">
        <w:rPr>
          <w:sz w:val="24"/>
          <w:szCs w:val="24"/>
        </w:rPr>
        <w:t xml:space="preserve">). </w:t>
      </w:r>
      <w:r w:rsidR="00144C16">
        <w:rPr>
          <w:sz w:val="24"/>
          <w:szCs w:val="24"/>
        </w:rPr>
        <w:t xml:space="preserve"> A kérdés az volt, hogy milyen szerepe lehet a Megállapodás 7. és 8. cikkében foglalt szociálpolitikai és</w:t>
      </w:r>
      <w:r w:rsidR="00FA59C9">
        <w:rPr>
          <w:sz w:val="24"/>
          <w:szCs w:val="24"/>
        </w:rPr>
        <w:t xml:space="preserve"> – bizonyos tekintetben – „</w:t>
      </w:r>
      <w:r w:rsidR="00144C16">
        <w:rPr>
          <w:sz w:val="24"/>
          <w:szCs w:val="24"/>
        </w:rPr>
        <w:t>alapjogi</w:t>
      </w:r>
      <w:r w:rsidR="00FA59C9">
        <w:rPr>
          <w:sz w:val="24"/>
          <w:szCs w:val="24"/>
        </w:rPr>
        <w:t>”</w:t>
      </w:r>
      <w:r w:rsidR="0070621C">
        <w:rPr>
          <w:sz w:val="24"/>
          <w:szCs w:val="24"/>
        </w:rPr>
        <w:t xml:space="preserve"> elveknek a teszt alkalmazásá</w:t>
      </w:r>
      <w:r w:rsidR="001E51AD">
        <w:rPr>
          <w:sz w:val="24"/>
          <w:szCs w:val="24"/>
        </w:rPr>
        <w:t>ban</w:t>
      </w:r>
      <w:r w:rsidR="0070621C">
        <w:rPr>
          <w:sz w:val="24"/>
          <w:szCs w:val="24"/>
        </w:rPr>
        <w:t>.  Az</w:t>
      </w:r>
      <w:r w:rsidR="00FA59C9">
        <w:rPr>
          <w:sz w:val="24"/>
          <w:szCs w:val="24"/>
        </w:rPr>
        <w:t xml:space="preserve"> ügyben panaszosként szereplő E</w:t>
      </w:r>
      <w:r w:rsidR="00125C93">
        <w:rPr>
          <w:sz w:val="24"/>
          <w:szCs w:val="24"/>
        </w:rPr>
        <w:t>urópai Közösség</w:t>
      </w:r>
      <w:r w:rsidR="00FA59C9">
        <w:rPr>
          <w:sz w:val="24"/>
          <w:szCs w:val="24"/>
        </w:rPr>
        <w:t xml:space="preserve"> </w:t>
      </w:r>
      <w:r w:rsidR="0070621C">
        <w:rPr>
          <w:sz w:val="24"/>
          <w:szCs w:val="24"/>
        </w:rPr>
        <w:t>szerint a három-lépéses teszt</w:t>
      </w:r>
      <w:r w:rsidR="001E51AD">
        <w:rPr>
          <w:sz w:val="24"/>
          <w:szCs w:val="24"/>
        </w:rPr>
        <w:t>et</w:t>
      </w:r>
      <w:r w:rsidR="0070621C">
        <w:rPr>
          <w:sz w:val="24"/>
          <w:szCs w:val="24"/>
        </w:rPr>
        <w:t xml:space="preserve"> önállóan</w:t>
      </w:r>
      <w:r w:rsidR="001E51AD">
        <w:rPr>
          <w:sz w:val="24"/>
          <w:szCs w:val="24"/>
        </w:rPr>
        <w:t xml:space="preserve"> kellett volna</w:t>
      </w:r>
      <w:r w:rsidR="0070621C">
        <w:rPr>
          <w:sz w:val="24"/>
          <w:szCs w:val="24"/>
        </w:rPr>
        <w:t xml:space="preserve"> értelmez</w:t>
      </w:r>
      <w:r w:rsidR="001E51AD">
        <w:rPr>
          <w:sz w:val="24"/>
          <w:szCs w:val="24"/>
        </w:rPr>
        <w:t>ni</w:t>
      </w:r>
      <w:r w:rsidR="0070621C">
        <w:rPr>
          <w:sz w:val="24"/>
          <w:szCs w:val="24"/>
        </w:rPr>
        <w:t xml:space="preserve">, az említett </w:t>
      </w:r>
      <w:r w:rsidR="00FA59C9">
        <w:rPr>
          <w:sz w:val="24"/>
          <w:szCs w:val="24"/>
        </w:rPr>
        <w:t xml:space="preserve">alapvető </w:t>
      </w:r>
      <w:r w:rsidR="0070621C">
        <w:rPr>
          <w:sz w:val="24"/>
          <w:szCs w:val="24"/>
        </w:rPr>
        <w:t>elvek figyelembe vétele nélkül. Kanada</w:t>
      </w:r>
      <w:r w:rsidR="00125C93">
        <w:rPr>
          <w:sz w:val="24"/>
          <w:szCs w:val="24"/>
        </w:rPr>
        <w:t>, amelynek a szabadalmi jogi szabályozásáról volt szó, azt</w:t>
      </w:r>
      <w:r w:rsidR="00FA59C9">
        <w:rPr>
          <w:sz w:val="24"/>
          <w:szCs w:val="24"/>
        </w:rPr>
        <w:t xml:space="preserve"> </w:t>
      </w:r>
      <w:r w:rsidR="0070621C">
        <w:rPr>
          <w:sz w:val="24"/>
          <w:szCs w:val="24"/>
        </w:rPr>
        <w:t>a vélemény</w:t>
      </w:r>
      <w:r w:rsidR="00FA59C9">
        <w:rPr>
          <w:sz w:val="24"/>
          <w:szCs w:val="24"/>
        </w:rPr>
        <w:t>t képviselte</w:t>
      </w:r>
      <w:r w:rsidR="0070621C">
        <w:rPr>
          <w:sz w:val="24"/>
          <w:szCs w:val="24"/>
        </w:rPr>
        <w:t xml:space="preserve">, hogy, miután </w:t>
      </w:r>
      <w:r w:rsidR="001A4D7C">
        <w:rPr>
          <w:sz w:val="24"/>
          <w:szCs w:val="24"/>
        </w:rPr>
        <w:t xml:space="preserve">megtörtént egy adott ügy elbírása a három-lépéses teszt alapján, </w:t>
      </w:r>
      <w:r w:rsidR="00125C93">
        <w:rPr>
          <w:sz w:val="24"/>
          <w:szCs w:val="24"/>
        </w:rPr>
        <w:t xml:space="preserve">még </w:t>
      </w:r>
      <w:r w:rsidR="001A4D7C">
        <w:rPr>
          <w:sz w:val="24"/>
          <w:szCs w:val="24"/>
        </w:rPr>
        <w:t xml:space="preserve">külön meg kell vizsgálni, vajon az </w:t>
      </w:r>
      <w:r w:rsidR="0070621C">
        <w:rPr>
          <w:sz w:val="24"/>
          <w:szCs w:val="24"/>
        </w:rPr>
        <w:t>eredmény</w:t>
      </w:r>
      <w:r w:rsidR="001A4D7C">
        <w:rPr>
          <w:sz w:val="24"/>
          <w:szCs w:val="24"/>
        </w:rPr>
        <w:t xml:space="preserve"> összhangban áll-e az</w:t>
      </w:r>
      <w:r w:rsidR="0070621C">
        <w:rPr>
          <w:sz w:val="24"/>
          <w:szCs w:val="24"/>
        </w:rPr>
        <w:t xml:space="preserve"> említett – a 30. cikk szempontjából </w:t>
      </w:r>
      <w:r w:rsidR="00125C93">
        <w:rPr>
          <w:sz w:val="24"/>
          <w:szCs w:val="24"/>
        </w:rPr>
        <w:t>„</w:t>
      </w:r>
      <w:proofErr w:type="spellStart"/>
      <w:r w:rsidR="0070621C">
        <w:rPr>
          <w:sz w:val="24"/>
          <w:szCs w:val="24"/>
        </w:rPr>
        <w:t>externalitás</w:t>
      </w:r>
      <w:r w:rsidR="00007558">
        <w:rPr>
          <w:sz w:val="24"/>
          <w:szCs w:val="24"/>
        </w:rPr>
        <w:t>ok</w:t>
      </w:r>
      <w:r w:rsidR="0070621C">
        <w:rPr>
          <w:sz w:val="24"/>
          <w:szCs w:val="24"/>
        </w:rPr>
        <w:t>nak</w:t>
      </w:r>
      <w:proofErr w:type="spellEnd"/>
      <w:r w:rsidR="00125C93">
        <w:rPr>
          <w:sz w:val="24"/>
          <w:szCs w:val="24"/>
        </w:rPr>
        <w:t>”</w:t>
      </w:r>
      <w:r w:rsidR="0070621C">
        <w:rPr>
          <w:sz w:val="24"/>
          <w:szCs w:val="24"/>
        </w:rPr>
        <w:t xml:space="preserve"> </w:t>
      </w:r>
      <w:r w:rsidR="00007558">
        <w:rPr>
          <w:sz w:val="24"/>
          <w:szCs w:val="24"/>
        </w:rPr>
        <w:t xml:space="preserve">számító – alapvető elvekkel is. </w:t>
      </w:r>
      <w:r w:rsidR="001A4D7C">
        <w:rPr>
          <w:sz w:val="24"/>
          <w:szCs w:val="24"/>
        </w:rPr>
        <w:t xml:space="preserve">Mi </w:t>
      </w:r>
      <w:r w:rsidR="00125C93">
        <w:rPr>
          <w:sz w:val="24"/>
          <w:szCs w:val="24"/>
        </w:rPr>
        <w:t xml:space="preserve">viszont </w:t>
      </w:r>
      <w:r w:rsidR="001A4D7C">
        <w:rPr>
          <w:sz w:val="24"/>
          <w:szCs w:val="24"/>
        </w:rPr>
        <w:t>egy harmadik álláspontot rögzítettük</w:t>
      </w:r>
      <w:r w:rsidR="00125C93">
        <w:rPr>
          <w:sz w:val="24"/>
          <w:szCs w:val="24"/>
        </w:rPr>
        <w:t xml:space="preserve"> a jegyzőkönyvben; nevezetesen azt</w:t>
      </w:r>
      <w:r w:rsidR="00007558">
        <w:rPr>
          <w:sz w:val="24"/>
          <w:szCs w:val="24"/>
        </w:rPr>
        <w:t xml:space="preserve">, hogy az említett elveket figyelembe kell venni, de nem </w:t>
      </w:r>
      <w:r w:rsidR="00125C93">
        <w:rPr>
          <w:sz w:val="24"/>
          <w:szCs w:val="24"/>
        </w:rPr>
        <w:t>„</w:t>
      </w:r>
      <w:proofErr w:type="spellStart"/>
      <w:r w:rsidR="00007558">
        <w:rPr>
          <w:sz w:val="24"/>
          <w:szCs w:val="24"/>
        </w:rPr>
        <w:t>externalitás</w:t>
      </w:r>
      <w:r w:rsidR="00125C93">
        <w:rPr>
          <w:sz w:val="24"/>
          <w:szCs w:val="24"/>
        </w:rPr>
        <w:t>ok</w:t>
      </w:r>
      <w:r w:rsidR="00007558">
        <w:rPr>
          <w:sz w:val="24"/>
          <w:szCs w:val="24"/>
        </w:rPr>
        <w:t>ként</w:t>
      </w:r>
      <w:proofErr w:type="spellEnd"/>
      <w:r w:rsidR="00125C93">
        <w:rPr>
          <w:sz w:val="24"/>
          <w:szCs w:val="24"/>
        </w:rPr>
        <w:t>”</w:t>
      </w:r>
      <w:r w:rsidR="00007558">
        <w:rPr>
          <w:sz w:val="24"/>
          <w:szCs w:val="24"/>
        </w:rPr>
        <w:t>, hanem a három-lépéses teszt alkalmazásának az integráns részeként, miután a teszt épp</w:t>
      </w:r>
      <w:r w:rsidR="0072088E">
        <w:rPr>
          <w:sz w:val="24"/>
          <w:szCs w:val="24"/>
        </w:rPr>
        <w:t>en</w:t>
      </w:r>
      <w:r w:rsidR="00007558">
        <w:rPr>
          <w:sz w:val="24"/>
          <w:szCs w:val="24"/>
        </w:rPr>
        <w:t xml:space="preserve"> a különböző érdekek és szempontok megfelelő egyensúlyának a</w:t>
      </w:r>
      <w:r w:rsidR="0072088E">
        <w:rPr>
          <w:sz w:val="24"/>
          <w:szCs w:val="24"/>
        </w:rPr>
        <w:t xml:space="preserve">z érvényesítését </w:t>
      </w:r>
      <w:r w:rsidR="00007558">
        <w:rPr>
          <w:sz w:val="24"/>
          <w:szCs w:val="24"/>
        </w:rPr>
        <w:t>szolgálja</w:t>
      </w:r>
      <w:r w:rsidR="00125C93">
        <w:rPr>
          <w:sz w:val="24"/>
          <w:szCs w:val="24"/>
        </w:rPr>
        <w:t>, olyanokét, mint amely</w:t>
      </w:r>
      <w:r w:rsidR="002D1613">
        <w:rPr>
          <w:sz w:val="24"/>
          <w:szCs w:val="24"/>
        </w:rPr>
        <w:t xml:space="preserve">ekről a </w:t>
      </w:r>
      <w:proofErr w:type="spellStart"/>
      <w:r w:rsidR="002D1613">
        <w:rPr>
          <w:sz w:val="24"/>
          <w:szCs w:val="24"/>
        </w:rPr>
        <w:t>TRIPs</w:t>
      </w:r>
      <w:proofErr w:type="spellEnd"/>
      <w:r w:rsidR="002D1613">
        <w:rPr>
          <w:sz w:val="24"/>
          <w:szCs w:val="24"/>
        </w:rPr>
        <w:t xml:space="preserve"> Megállapodás 7. és 8. Cikke is szól.</w:t>
      </w:r>
      <w:r w:rsidR="00821968">
        <w:rPr>
          <w:rStyle w:val="Lbjegyzet-hivatkozs"/>
          <w:sz w:val="24"/>
          <w:szCs w:val="24"/>
        </w:rPr>
        <w:footnoteReference w:id="5"/>
      </w:r>
      <w:r w:rsidR="002D1613">
        <w:rPr>
          <w:sz w:val="24"/>
          <w:szCs w:val="24"/>
        </w:rPr>
        <w:t xml:space="preserve"> </w:t>
      </w:r>
      <w:r w:rsidR="0072088E">
        <w:rPr>
          <w:sz w:val="24"/>
          <w:szCs w:val="24"/>
        </w:rPr>
        <w:t xml:space="preserve"> </w:t>
      </w:r>
    </w:p>
    <w:p w:rsidR="0072088E" w:rsidRDefault="0072088E" w:rsidP="00195B20">
      <w:pPr>
        <w:jc w:val="both"/>
        <w:rPr>
          <w:sz w:val="24"/>
          <w:szCs w:val="24"/>
        </w:rPr>
      </w:pPr>
    </w:p>
    <w:p w:rsidR="00184094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72088E">
        <w:rPr>
          <w:sz w:val="24"/>
          <w:szCs w:val="24"/>
        </w:rPr>
        <w:t xml:space="preserve">Ehhez kapcsolódik az a szabályozástaktikai szempont, amit fent említettem. </w:t>
      </w:r>
      <w:r w:rsidR="00670B37">
        <w:rPr>
          <w:sz w:val="24"/>
          <w:szCs w:val="24"/>
        </w:rPr>
        <w:t>M</w:t>
      </w:r>
      <w:r w:rsidR="0072088E">
        <w:rPr>
          <w:sz w:val="24"/>
          <w:szCs w:val="24"/>
        </w:rPr>
        <w:t>inél k</w:t>
      </w:r>
      <w:r w:rsidR="00670B37">
        <w:rPr>
          <w:sz w:val="24"/>
          <w:szCs w:val="24"/>
        </w:rPr>
        <w:t xml:space="preserve">isebb </w:t>
      </w:r>
      <w:r w:rsidR="0072088E">
        <w:rPr>
          <w:sz w:val="24"/>
          <w:szCs w:val="24"/>
        </w:rPr>
        <w:t xml:space="preserve">teret </w:t>
      </w:r>
      <w:r w:rsidR="00670B37">
        <w:rPr>
          <w:sz w:val="24"/>
          <w:szCs w:val="24"/>
        </w:rPr>
        <w:t xml:space="preserve">indokolt </w:t>
      </w:r>
      <w:r w:rsidR="0072088E">
        <w:rPr>
          <w:sz w:val="24"/>
          <w:szCs w:val="24"/>
        </w:rPr>
        <w:t>hagyn</w:t>
      </w:r>
      <w:r w:rsidR="00C6461C">
        <w:rPr>
          <w:sz w:val="24"/>
          <w:szCs w:val="24"/>
        </w:rPr>
        <w:t>unk</w:t>
      </w:r>
      <w:r w:rsidR="0072088E">
        <w:rPr>
          <w:sz w:val="24"/>
          <w:szCs w:val="24"/>
        </w:rPr>
        <w:t xml:space="preserve"> a szerzői jogi szabályok külső „alapjogi, szociálpolitikai, stb.” </w:t>
      </w:r>
      <w:r w:rsidR="001E51AD">
        <w:rPr>
          <w:sz w:val="24"/>
          <w:szCs w:val="24"/>
        </w:rPr>
        <w:t>ismérvek</w:t>
      </w:r>
      <w:r w:rsidR="0072088E">
        <w:rPr>
          <w:sz w:val="24"/>
          <w:szCs w:val="24"/>
        </w:rPr>
        <w:t xml:space="preserve"> alapján való felülvizsgálatának és félresöpör</w:t>
      </w:r>
      <w:r w:rsidR="00184094">
        <w:rPr>
          <w:sz w:val="24"/>
          <w:szCs w:val="24"/>
        </w:rPr>
        <w:t>ésének. Meg</w:t>
      </w:r>
      <w:r w:rsidR="0072088E">
        <w:rPr>
          <w:sz w:val="24"/>
          <w:szCs w:val="24"/>
        </w:rPr>
        <w:t xml:space="preserve"> annak, ami ebből következik, </w:t>
      </w:r>
      <w:r w:rsidR="00184094">
        <w:rPr>
          <w:sz w:val="24"/>
          <w:szCs w:val="24"/>
        </w:rPr>
        <w:t xml:space="preserve">a jogbizonytalanságnak és a túlzott (jogi hagyományainktól meglehetősen idegen </w:t>
      </w:r>
      <w:proofErr w:type="spellStart"/>
      <w:r w:rsidR="00184094" w:rsidRPr="00184094">
        <w:rPr>
          <w:i/>
          <w:sz w:val="24"/>
          <w:szCs w:val="24"/>
        </w:rPr>
        <w:t>common</w:t>
      </w:r>
      <w:proofErr w:type="spellEnd"/>
      <w:r w:rsidR="00184094" w:rsidRPr="00184094">
        <w:rPr>
          <w:i/>
          <w:sz w:val="24"/>
          <w:szCs w:val="24"/>
        </w:rPr>
        <w:t xml:space="preserve"> </w:t>
      </w:r>
      <w:proofErr w:type="spellStart"/>
      <w:r w:rsidR="00184094" w:rsidRPr="00184094">
        <w:rPr>
          <w:i/>
          <w:sz w:val="24"/>
          <w:szCs w:val="24"/>
        </w:rPr>
        <w:t>law</w:t>
      </w:r>
      <w:proofErr w:type="spellEnd"/>
      <w:r w:rsidR="00184094">
        <w:rPr>
          <w:sz w:val="24"/>
          <w:szCs w:val="24"/>
        </w:rPr>
        <w:t xml:space="preserve"> típusú) bírói aktivizmusnak. </w:t>
      </w:r>
      <w:r w:rsidR="00670B37">
        <w:rPr>
          <w:sz w:val="24"/>
          <w:szCs w:val="24"/>
        </w:rPr>
        <w:t>A</w:t>
      </w:r>
      <w:r w:rsidR="00C6461C">
        <w:rPr>
          <w:sz w:val="24"/>
          <w:szCs w:val="24"/>
        </w:rPr>
        <w:t xml:space="preserve"> szerzői jogi szabályozás integritásának az </w:t>
      </w:r>
      <w:r w:rsidR="00670B37">
        <w:rPr>
          <w:sz w:val="24"/>
          <w:szCs w:val="24"/>
        </w:rPr>
        <w:t xml:space="preserve">ilyen </w:t>
      </w:r>
      <w:r w:rsidR="00C6461C">
        <w:rPr>
          <w:sz w:val="24"/>
          <w:szCs w:val="24"/>
        </w:rPr>
        <w:t xml:space="preserve">módon való megóvása </w:t>
      </w:r>
      <w:r w:rsidR="00184094">
        <w:rPr>
          <w:sz w:val="24"/>
          <w:szCs w:val="24"/>
        </w:rPr>
        <w:t>– az adott összefüggésben – egyaránt szolgál</w:t>
      </w:r>
      <w:r w:rsidR="00C6461C">
        <w:rPr>
          <w:sz w:val="24"/>
          <w:szCs w:val="24"/>
        </w:rPr>
        <w:t xml:space="preserve">hatja </w:t>
      </w:r>
      <w:r w:rsidR="00184094">
        <w:rPr>
          <w:sz w:val="24"/>
          <w:szCs w:val="24"/>
        </w:rPr>
        <w:t xml:space="preserve">a szerzők személyhez fűződő jogainak és a kifejezés szabadságának a hatékony és kiegyensúlyozott védelmét. </w:t>
      </w:r>
    </w:p>
    <w:p w:rsidR="00C6461C" w:rsidRDefault="00C6461C" w:rsidP="00195B20">
      <w:pPr>
        <w:jc w:val="both"/>
        <w:rPr>
          <w:sz w:val="24"/>
          <w:szCs w:val="24"/>
        </w:rPr>
      </w:pPr>
    </w:p>
    <w:p w:rsidR="00670B37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184094">
        <w:rPr>
          <w:sz w:val="24"/>
          <w:szCs w:val="24"/>
        </w:rPr>
        <w:t>Az is fontos szempont, hogy a paródia</w:t>
      </w:r>
      <w:r w:rsidR="007E6446">
        <w:rPr>
          <w:sz w:val="24"/>
          <w:szCs w:val="24"/>
        </w:rPr>
        <w:t>, amely korábban viszonylag szűk körben művelt, elsősorban irodalmi műfajként létezett, az Internet világában tömeges – ahogy</w:t>
      </w:r>
      <w:r w:rsidR="00C6461C">
        <w:rPr>
          <w:sz w:val="24"/>
          <w:szCs w:val="24"/>
        </w:rPr>
        <w:t>an</w:t>
      </w:r>
      <w:r w:rsidR="007E6446">
        <w:rPr>
          <w:sz w:val="24"/>
          <w:szCs w:val="24"/>
        </w:rPr>
        <w:t xml:space="preserve"> mondani szokás némi </w:t>
      </w:r>
      <w:r w:rsidR="002D1613">
        <w:rPr>
          <w:sz w:val="24"/>
          <w:szCs w:val="24"/>
        </w:rPr>
        <w:t>„</w:t>
      </w:r>
      <w:proofErr w:type="spellStart"/>
      <w:r w:rsidR="002D1613">
        <w:rPr>
          <w:sz w:val="24"/>
          <w:szCs w:val="24"/>
        </w:rPr>
        <w:t>newspeak</w:t>
      </w:r>
      <w:proofErr w:type="spellEnd"/>
      <w:r w:rsidR="002D1613">
        <w:rPr>
          <w:sz w:val="24"/>
          <w:szCs w:val="24"/>
        </w:rPr>
        <w:t>” formájában</w:t>
      </w:r>
      <w:r w:rsidR="007E6446">
        <w:rPr>
          <w:sz w:val="24"/>
          <w:szCs w:val="24"/>
        </w:rPr>
        <w:t xml:space="preserve">, egyik leginkább „demokratizálódott” – szerzői jogilag releváns jelenséggé vált (a </w:t>
      </w:r>
      <w:proofErr w:type="spellStart"/>
      <w:r w:rsidR="007E6446">
        <w:rPr>
          <w:sz w:val="24"/>
          <w:szCs w:val="24"/>
        </w:rPr>
        <w:t>blogok</w:t>
      </w:r>
      <w:proofErr w:type="spellEnd"/>
      <w:r w:rsidR="007E6446">
        <w:rPr>
          <w:sz w:val="24"/>
          <w:szCs w:val="24"/>
        </w:rPr>
        <w:t xml:space="preserve"> mellett, amelyekben amúgy a paródia is jelen van). </w:t>
      </w:r>
      <w:r w:rsidR="00007558">
        <w:rPr>
          <w:sz w:val="24"/>
          <w:szCs w:val="24"/>
        </w:rPr>
        <w:t xml:space="preserve"> </w:t>
      </w:r>
      <w:r w:rsidR="007E6446">
        <w:rPr>
          <w:sz w:val="24"/>
          <w:szCs w:val="24"/>
        </w:rPr>
        <w:t>Egyúttal az irányultsága is alapvetően módosult; míg korábban a művek és stílusok parodizálása („</w:t>
      </w:r>
      <w:proofErr w:type="spellStart"/>
      <w:r w:rsidR="007E6446">
        <w:rPr>
          <w:sz w:val="24"/>
          <w:szCs w:val="24"/>
        </w:rPr>
        <w:t>parody</w:t>
      </w:r>
      <w:proofErr w:type="spellEnd"/>
      <w:r w:rsidR="007E6446">
        <w:rPr>
          <w:sz w:val="24"/>
          <w:szCs w:val="24"/>
        </w:rPr>
        <w:t xml:space="preserve"> of”) volt jellemző, </w:t>
      </w:r>
      <w:r w:rsidR="00670B37">
        <w:rPr>
          <w:sz w:val="24"/>
          <w:szCs w:val="24"/>
        </w:rPr>
        <w:t xml:space="preserve">főleg irodalmi parodizálás formájában, </w:t>
      </w:r>
      <w:r w:rsidR="007E6446">
        <w:rPr>
          <w:sz w:val="24"/>
          <w:szCs w:val="24"/>
        </w:rPr>
        <w:t xml:space="preserve">mára a </w:t>
      </w:r>
      <w:r w:rsidR="00670B37">
        <w:rPr>
          <w:sz w:val="24"/>
          <w:szCs w:val="24"/>
        </w:rPr>
        <w:t xml:space="preserve">legváltozatosabb műfajú </w:t>
      </w:r>
      <w:r w:rsidR="007E6446">
        <w:rPr>
          <w:sz w:val="24"/>
          <w:szCs w:val="24"/>
        </w:rPr>
        <w:t>művek</w:t>
      </w:r>
      <w:r w:rsidR="00670B37">
        <w:rPr>
          <w:sz w:val="24"/>
          <w:szCs w:val="24"/>
        </w:rPr>
        <w:t>nek</w:t>
      </w:r>
      <w:r w:rsidR="007E6446">
        <w:rPr>
          <w:sz w:val="24"/>
          <w:szCs w:val="24"/>
        </w:rPr>
        <w:t xml:space="preserve"> valami más</w:t>
      </w:r>
      <w:r w:rsidR="001E51AD">
        <w:rPr>
          <w:sz w:val="24"/>
          <w:szCs w:val="24"/>
        </w:rPr>
        <w:t>,</w:t>
      </w:r>
      <w:r w:rsidR="002D1613">
        <w:rPr>
          <w:sz w:val="24"/>
          <w:szCs w:val="24"/>
        </w:rPr>
        <w:t xml:space="preserve"> mint egy-egy mű</w:t>
      </w:r>
      <w:r w:rsidR="00670B37">
        <w:rPr>
          <w:sz w:val="24"/>
          <w:szCs w:val="24"/>
        </w:rPr>
        <w:t xml:space="preserve"> </w:t>
      </w:r>
      <w:r w:rsidR="007E6446">
        <w:rPr>
          <w:sz w:val="24"/>
          <w:szCs w:val="24"/>
        </w:rPr>
        <w:t>parodizálás</w:t>
      </w:r>
      <w:r w:rsidR="001E51AD">
        <w:rPr>
          <w:sz w:val="24"/>
          <w:szCs w:val="24"/>
        </w:rPr>
        <w:t>ára</w:t>
      </w:r>
      <w:r w:rsidR="007E6446">
        <w:rPr>
          <w:sz w:val="24"/>
          <w:szCs w:val="24"/>
        </w:rPr>
        <w:t xml:space="preserve"> („</w:t>
      </w:r>
      <w:proofErr w:type="spellStart"/>
      <w:r w:rsidR="007E6446">
        <w:rPr>
          <w:sz w:val="24"/>
          <w:szCs w:val="24"/>
        </w:rPr>
        <w:t>parody</w:t>
      </w:r>
      <w:proofErr w:type="spellEnd"/>
      <w:r w:rsidR="007E6446">
        <w:rPr>
          <w:sz w:val="24"/>
          <w:szCs w:val="24"/>
        </w:rPr>
        <w:t xml:space="preserve"> </w:t>
      </w:r>
      <w:proofErr w:type="spellStart"/>
      <w:r w:rsidR="007E6446">
        <w:rPr>
          <w:sz w:val="24"/>
          <w:szCs w:val="24"/>
        </w:rPr>
        <w:t>with</w:t>
      </w:r>
      <w:proofErr w:type="spellEnd"/>
      <w:r w:rsidR="007E6446">
        <w:rPr>
          <w:sz w:val="24"/>
          <w:szCs w:val="24"/>
        </w:rPr>
        <w:t xml:space="preserve">”) </w:t>
      </w:r>
      <w:r w:rsidR="00670B37">
        <w:rPr>
          <w:sz w:val="24"/>
          <w:szCs w:val="24"/>
        </w:rPr>
        <w:t xml:space="preserve">való felhasználása </w:t>
      </w:r>
      <w:r w:rsidR="007E6446">
        <w:rPr>
          <w:sz w:val="24"/>
          <w:szCs w:val="24"/>
        </w:rPr>
        <w:t xml:space="preserve">vált </w:t>
      </w:r>
      <w:r w:rsidR="002D1613">
        <w:rPr>
          <w:sz w:val="24"/>
          <w:szCs w:val="24"/>
        </w:rPr>
        <w:t>jellemzővé</w:t>
      </w:r>
      <w:r w:rsidR="007E6446">
        <w:rPr>
          <w:sz w:val="24"/>
          <w:szCs w:val="24"/>
        </w:rPr>
        <w:t xml:space="preserve">.  </w:t>
      </w:r>
      <w:r w:rsidR="00670B37">
        <w:rPr>
          <w:sz w:val="24"/>
          <w:szCs w:val="24"/>
        </w:rPr>
        <w:t>A paródia tömegessé válás</w:t>
      </w:r>
      <w:r w:rsidR="002D1613">
        <w:rPr>
          <w:sz w:val="24"/>
          <w:szCs w:val="24"/>
        </w:rPr>
        <w:t>a folytán</w:t>
      </w:r>
      <w:r w:rsidR="00670B37">
        <w:rPr>
          <w:sz w:val="24"/>
          <w:szCs w:val="24"/>
        </w:rPr>
        <w:t xml:space="preserve"> nemcsak az átdolgozás vagyoni jogával, hanem a személyhez fűződő jogokkal kapcsolatos kérdések is reflektorfénybe kerülnek</w:t>
      </w:r>
      <w:r w:rsidR="001E51AD">
        <w:rPr>
          <w:sz w:val="24"/>
          <w:szCs w:val="24"/>
        </w:rPr>
        <w:t xml:space="preserve">, </w:t>
      </w:r>
      <w:r w:rsidR="00670B37">
        <w:rPr>
          <w:sz w:val="24"/>
          <w:szCs w:val="24"/>
        </w:rPr>
        <w:t>gyakran felmerülnek</w:t>
      </w:r>
      <w:r w:rsidR="008106DC">
        <w:rPr>
          <w:sz w:val="24"/>
          <w:szCs w:val="24"/>
        </w:rPr>
        <w:t xml:space="preserve">, ami szintén a törvényi </w:t>
      </w:r>
      <w:r w:rsidR="00670B37">
        <w:rPr>
          <w:sz w:val="24"/>
          <w:szCs w:val="24"/>
        </w:rPr>
        <w:t>szabályozás szükségessége mellett szól.</w:t>
      </w:r>
    </w:p>
    <w:p w:rsidR="009A2E37" w:rsidRDefault="009A2E37" w:rsidP="00195B20">
      <w:pPr>
        <w:jc w:val="both"/>
        <w:rPr>
          <w:sz w:val="24"/>
          <w:szCs w:val="24"/>
        </w:rPr>
      </w:pPr>
    </w:p>
    <w:p w:rsidR="00A2472D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8106DC">
        <w:rPr>
          <w:sz w:val="24"/>
          <w:szCs w:val="24"/>
        </w:rPr>
        <w:t xml:space="preserve">A fenti </w:t>
      </w:r>
      <w:r w:rsidR="009A2E37">
        <w:rPr>
          <w:sz w:val="24"/>
          <w:szCs w:val="24"/>
        </w:rPr>
        <w:t xml:space="preserve">fejlemények </w:t>
      </w:r>
      <w:r w:rsidR="00670B37">
        <w:rPr>
          <w:sz w:val="24"/>
          <w:szCs w:val="24"/>
        </w:rPr>
        <w:t xml:space="preserve">együttesen </w:t>
      </w:r>
      <w:r w:rsidR="009A2E37">
        <w:rPr>
          <w:sz w:val="24"/>
          <w:szCs w:val="24"/>
        </w:rPr>
        <w:t>késztetnek arra, hogy a</w:t>
      </w:r>
      <w:r w:rsidR="00A2472D">
        <w:rPr>
          <w:sz w:val="24"/>
          <w:szCs w:val="24"/>
        </w:rPr>
        <w:t>z általam megismert</w:t>
      </w:r>
      <w:r w:rsidR="009A2E37">
        <w:rPr>
          <w:sz w:val="24"/>
          <w:szCs w:val="24"/>
        </w:rPr>
        <w:t xml:space="preserve"> tervezetben </w:t>
      </w:r>
      <w:r w:rsidR="00702B94">
        <w:rPr>
          <w:sz w:val="24"/>
          <w:szCs w:val="24"/>
        </w:rPr>
        <w:t>a Szerzői jogi törvény 13.§</w:t>
      </w:r>
      <w:proofErr w:type="spellStart"/>
      <w:r w:rsidR="00702B94">
        <w:rPr>
          <w:sz w:val="24"/>
          <w:szCs w:val="24"/>
        </w:rPr>
        <w:t>-</w:t>
      </w:r>
      <w:r w:rsidR="001E51AD">
        <w:rPr>
          <w:sz w:val="24"/>
          <w:szCs w:val="24"/>
        </w:rPr>
        <w:t>á</w:t>
      </w:r>
      <w:r w:rsidR="00702B94">
        <w:rPr>
          <w:sz w:val="24"/>
          <w:szCs w:val="24"/>
        </w:rPr>
        <w:t>n</w:t>
      </w:r>
      <w:r w:rsidR="001E51AD">
        <w:rPr>
          <w:sz w:val="24"/>
          <w:szCs w:val="24"/>
        </w:rPr>
        <w:t>a</w:t>
      </w:r>
      <w:r w:rsidR="00702B94">
        <w:rPr>
          <w:sz w:val="24"/>
          <w:szCs w:val="24"/>
        </w:rPr>
        <w:t>k</w:t>
      </w:r>
      <w:proofErr w:type="spellEnd"/>
      <w:r w:rsidR="00702B94">
        <w:rPr>
          <w:sz w:val="24"/>
          <w:szCs w:val="24"/>
        </w:rPr>
        <w:t xml:space="preserve"> módosítását illetően </w:t>
      </w:r>
      <w:r w:rsidR="009A2E37">
        <w:rPr>
          <w:sz w:val="24"/>
          <w:szCs w:val="24"/>
        </w:rPr>
        <w:t xml:space="preserve">inkább az </w:t>
      </w:r>
      <w:proofErr w:type="gramStart"/>
      <w:r w:rsidR="009A2E37">
        <w:rPr>
          <w:sz w:val="24"/>
          <w:szCs w:val="24"/>
        </w:rPr>
        <w:t>A</w:t>
      </w:r>
      <w:proofErr w:type="gramEnd"/>
      <w:r w:rsidR="009A2E37">
        <w:rPr>
          <w:sz w:val="24"/>
          <w:szCs w:val="24"/>
        </w:rPr>
        <w:t xml:space="preserve"> változat mellett legyek, </w:t>
      </w:r>
      <w:r w:rsidR="001E51AD">
        <w:rPr>
          <w:sz w:val="24"/>
          <w:szCs w:val="24"/>
        </w:rPr>
        <w:t>egy  lent megemlítendő kisebb változtatással</w:t>
      </w:r>
      <w:r w:rsidR="009A2E37">
        <w:rPr>
          <w:sz w:val="24"/>
          <w:szCs w:val="24"/>
        </w:rPr>
        <w:t xml:space="preserve">.  </w:t>
      </w:r>
      <w:r w:rsidR="00A2472D">
        <w:rPr>
          <w:sz w:val="24"/>
          <w:szCs w:val="24"/>
        </w:rPr>
        <w:t xml:space="preserve">Az </w:t>
      </w:r>
      <w:proofErr w:type="gramStart"/>
      <w:r w:rsidR="00A2472D">
        <w:rPr>
          <w:sz w:val="24"/>
          <w:szCs w:val="24"/>
        </w:rPr>
        <w:t>A</w:t>
      </w:r>
      <w:proofErr w:type="gramEnd"/>
      <w:r w:rsidR="00A2472D">
        <w:rPr>
          <w:sz w:val="24"/>
          <w:szCs w:val="24"/>
        </w:rPr>
        <w:t xml:space="preserve"> és B változat </w:t>
      </w:r>
      <w:r w:rsidR="001E51AD">
        <w:rPr>
          <w:sz w:val="24"/>
          <w:szCs w:val="24"/>
        </w:rPr>
        <w:t xml:space="preserve">lényegében </w:t>
      </w:r>
      <w:r w:rsidR="00A2472D">
        <w:rPr>
          <w:sz w:val="24"/>
          <w:szCs w:val="24"/>
        </w:rPr>
        <w:t>azonos</w:t>
      </w:r>
      <w:r w:rsidR="008E527C">
        <w:rPr>
          <w:sz w:val="24"/>
          <w:szCs w:val="24"/>
        </w:rPr>
        <w:t xml:space="preserve"> a mű integritá</w:t>
      </w:r>
      <w:r w:rsidR="00702B94">
        <w:rPr>
          <w:sz w:val="24"/>
          <w:szCs w:val="24"/>
        </w:rPr>
        <w:t xml:space="preserve">sa </w:t>
      </w:r>
      <w:r w:rsidR="008E527C">
        <w:rPr>
          <w:sz w:val="24"/>
          <w:szCs w:val="24"/>
        </w:rPr>
        <w:t>védelm</w:t>
      </w:r>
      <w:r w:rsidR="00702B94">
        <w:rPr>
          <w:sz w:val="24"/>
          <w:szCs w:val="24"/>
        </w:rPr>
        <w:t>ének a</w:t>
      </w:r>
      <w:r w:rsidR="008E527C">
        <w:rPr>
          <w:sz w:val="24"/>
          <w:szCs w:val="24"/>
        </w:rPr>
        <w:t xml:space="preserve"> jog</w:t>
      </w:r>
      <w:r w:rsidR="00702B94">
        <w:rPr>
          <w:sz w:val="24"/>
          <w:szCs w:val="24"/>
        </w:rPr>
        <w:t>á</w:t>
      </w:r>
      <w:r w:rsidR="008E527C">
        <w:rPr>
          <w:sz w:val="24"/>
          <w:szCs w:val="24"/>
        </w:rPr>
        <w:t>ra vonatkozó rendelkezést illetően</w:t>
      </w:r>
      <w:r w:rsidR="00A2472D">
        <w:rPr>
          <w:sz w:val="24"/>
          <w:szCs w:val="24"/>
        </w:rPr>
        <w:t xml:space="preserve">, </w:t>
      </w:r>
      <w:r w:rsidR="008E527C">
        <w:rPr>
          <w:sz w:val="24"/>
          <w:szCs w:val="24"/>
        </w:rPr>
        <w:t xml:space="preserve">de </w:t>
      </w:r>
      <w:r w:rsidR="00A2472D">
        <w:rPr>
          <w:sz w:val="24"/>
          <w:szCs w:val="24"/>
        </w:rPr>
        <w:t>az A változat egy (2) bekezdéssel egészülne</w:t>
      </w:r>
      <w:r w:rsidR="008E527C">
        <w:rPr>
          <w:sz w:val="24"/>
          <w:szCs w:val="24"/>
        </w:rPr>
        <w:t xml:space="preserve"> ki az integritás</w:t>
      </w:r>
      <w:r w:rsidR="001E51AD">
        <w:rPr>
          <w:sz w:val="24"/>
          <w:szCs w:val="24"/>
        </w:rPr>
        <w:t>-</w:t>
      </w:r>
      <w:r w:rsidR="008E527C">
        <w:rPr>
          <w:sz w:val="24"/>
          <w:szCs w:val="24"/>
        </w:rPr>
        <w:t>védelemnek a paródia körében való alkalmazásár</w:t>
      </w:r>
      <w:r w:rsidR="00702B94">
        <w:rPr>
          <w:sz w:val="24"/>
          <w:szCs w:val="24"/>
        </w:rPr>
        <w:t>a</w:t>
      </w:r>
      <w:r w:rsidR="00A2472D">
        <w:rPr>
          <w:sz w:val="24"/>
          <w:szCs w:val="24"/>
        </w:rPr>
        <w:t>:</w:t>
      </w:r>
    </w:p>
    <w:p w:rsidR="00A2472D" w:rsidRDefault="00A2472D" w:rsidP="00195B20">
      <w:pPr>
        <w:jc w:val="both"/>
        <w:rPr>
          <w:sz w:val="24"/>
          <w:szCs w:val="24"/>
        </w:rPr>
      </w:pPr>
    </w:p>
    <w:p w:rsidR="008E527C" w:rsidRPr="008E527C" w:rsidRDefault="008E527C" w:rsidP="008E527C">
      <w:pPr>
        <w:shd w:val="clear" w:color="auto" w:fill="FFFFFF" w:themeFill="background1"/>
        <w:ind w:left="567" w:right="56"/>
        <w:jc w:val="both"/>
        <w:rPr>
          <w:sz w:val="24"/>
          <w:szCs w:val="24"/>
        </w:rPr>
      </w:pPr>
      <w:r w:rsidRPr="008E527C">
        <w:rPr>
          <w:bCs/>
          <w:color w:val="000000"/>
          <w:sz w:val="24"/>
          <w:szCs w:val="24"/>
        </w:rPr>
        <w:t>(1) A szerző személyhez fűződő jogát sérti művének a becsületére vagy jó hírnevére sérelmes mindenfajta eltorzítása, megcsonkítása, megváltoztatása és a művel kapcsolatos más ilyen jellegű visszaélés.</w:t>
      </w:r>
    </w:p>
    <w:p w:rsidR="009A2E37" w:rsidRPr="008E527C" w:rsidRDefault="008E527C" w:rsidP="008E527C">
      <w:pPr>
        <w:shd w:val="clear" w:color="auto" w:fill="FFFFFF" w:themeFill="background1"/>
        <w:ind w:left="567"/>
        <w:jc w:val="both"/>
        <w:rPr>
          <w:sz w:val="24"/>
          <w:szCs w:val="24"/>
        </w:rPr>
      </w:pPr>
      <w:r w:rsidRPr="008E527C">
        <w:rPr>
          <w:color w:val="000000"/>
          <w:sz w:val="24"/>
          <w:szCs w:val="24"/>
        </w:rPr>
        <w:t>(2) A szerző a mű egységének sérelmére művének paródia céljából [34/</w:t>
      </w:r>
      <w:proofErr w:type="gramStart"/>
      <w:r w:rsidRPr="008E527C">
        <w:rPr>
          <w:color w:val="000000"/>
          <w:sz w:val="24"/>
          <w:szCs w:val="24"/>
        </w:rPr>
        <w:t>A</w:t>
      </w:r>
      <w:proofErr w:type="gramEnd"/>
      <w:r w:rsidRPr="008E527C">
        <w:rPr>
          <w:color w:val="000000"/>
          <w:sz w:val="24"/>
          <w:szCs w:val="24"/>
        </w:rPr>
        <w:t>. §] történő felhasználása esetén akkor hivatkozhat, ha a felhasználás túllépi a szükséges és arányos mértéket.</w:t>
      </w:r>
      <w:r w:rsidR="00A2472D" w:rsidRPr="008E527C">
        <w:rPr>
          <w:sz w:val="24"/>
          <w:szCs w:val="24"/>
        </w:rPr>
        <w:t xml:space="preserve">  </w:t>
      </w:r>
    </w:p>
    <w:p w:rsidR="009A2E37" w:rsidRDefault="009A2E37" w:rsidP="00195B20">
      <w:pPr>
        <w:jc w:val="both"/>
        <w:rPr>
          <w:sz w:val="24"/>
          <w:szCs w:val="24"/>
        </w:rPr>
      </w:pPr>
    </w:p>
    <w:p w:rsidR="00F03097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8106DC">
        <w:rPr>
          <w:sz w:val="24"/>
          <w:szCs w:val="24"/>
        </w:rPr>
        <w:t xml:space="preserve">Illusztrációként </w:t>
      </w:r>
      <w:r w:rsidR="005D42E9">
        <w:rPr>
          <w:sz w:val="24"/>
          <w:szCs w:val="24"/>
        </w:rPr>
        <w:t xml:space="preserve">négy </w:t>
      </w:r>
      <w:r w:rsidR="009A2E37">
        <w:rPr>
          <w:sz w:val="24"/>
          <w:szCs w:val="24"/>
        </w:rPr>
        <w:t>ítéletre kívánok utalni (mind</w:t>
      </w:r>
      <w:r w:rsidR="005D42E9">
        <w:rPr>
          <w:sz w:val="24"/>
          <w:szCs w:val="24"/>
        </w:rPr>
        <w:t xml:space="preserve"> a négy </w:t>
      </w:r>
      <w:r w:rsidR="009A2E37">
        <w:rPr>
          <w:sz w:val="24"/>
          <w:szCs w:val="24"/>
        </w:rPr>
        <w:t xml:space="preserve">a „kontinentális”, </w:t>
      </w:r>
      <w:r w:rsidR="00167F6B" w:rsidRPr="001E51AD">
        <w:rPr>
          <w:i/>
          <w:sz w:val="24"/>
          <w:szCs w:val="24"/>
        </w:rPr>
        <w:t>civil</w:t>
      </w:r>
      <w:r w:rsidR="001E51AD" w:rsidRPr="001E51AD">
        <w:rPr>
          <w:i/>
          <w:sz w:val="24"/>
          <w:szCs w:val="24"/>
        </w:rPr>
        <w:t xml:space="preserve"> </w:t>
      </w:r>
      <w:proofErr w:type="spellStart"/>
      <w:r w:rsidR="00167F6B" w:rsidRPr="001E51AD">
        <w:rPr>
          <w:i/>
          <w:sz w:val="24"/>
          <w:szCs w:val="24"/>
        </w:rPr>
        <w:t>law</w:t>
      </w:r>
      <w:proofErr w:type="spellEnd"/>
      <w:r w:rsidR="00167F6B">
        <w:rPr>
          <w:sz w:val="24"/>
          <w:szCs w:val="24"/>
        </w:rPr>
        <w:t xml:space="preserve"> hagyományok körébe tartozik</w:t>
      </w:r>
      <w:r w:rsidR="008106DC">
        <w:rPr>
          <w:sz w:val="24"/>
          <w:szCs w:val="24"/>
        </w:rPr>
        <w:t>;</w:t>
      </w:r>
      <w:r w:rsidR="00167F6B">
        <w:rPr>
          <w:sz w:val="24"/>
          <w:szCs w:val="24"/>
        </w:rPr>
        <w:t xml:space="preserve"> így </w:t>
      </w:r>
      <w:r w:rsidR="00E5624C">
        <w:rPr>
          <w:sz w:val="24"/>
          <w:szCs w:val="24"/>
        </w:rPr>
        <w:t>nyilvánvalóan i</w:t>
      </w:r>
      <w:r w:rsidR="00167F6B">
        <w:rPr>
          <w:sz w:val="24"/>
          <w:szCs w:val="24"/>
        </w:rPr>
        <w:t>nkább releváns</w:t>
      </w:r>
      <w:r w:rsidR="002D1613">
        <w:rPr>
          <w:sz w:val="24"/>
          <w:szCs w:val="24"/>
        </w:rPr>
        <w:t>ak</w:t>
      </w:r>
      <w:r w:rsidR="00167F6B">
        <w:rPr>
          <w:sz w:val="24"/>
          <w:szCs w:val="24"/>
        </w:rPr>
        <w:t xml:space="preserve"> lehet</w:t>
      </w:r>
      <w:r w:rsidR="002D1613">
        <w:rPr>
          <w:sz w:val="24"/>
          <w:szCs w:val="24"/>
        </w:rPr>
        <w:t>nek</w:t>
      </w:r>
      <w:r w:rsidR="00167F6B">
        <w:rPr>
          <w:sz w:val="24"/>
          <w:szCs w:val="24"/>
        </w:rPr>
        <w:t xml:space="preserve"> a magyar szerzői jogi </w:t>
      </w:r>
      <w:r w:rsidR="002D1613">
        <w:rPr>
          <w:sz w:val="24"/>
          <w:szCs w:val="24"/>
        </w:rPr>
        <w:t xml:space="preserve">szabályozás </w:t>
      </w:r>
      <w:r w:rsidR="00167F6B">
        <w:rPr>
          <w:sz w:val="24"/>
          <w:szCs w:val="24"/>
        </w:rPr>
        <w:t xml:space="preserve">szempontjából, mint az angol-amerikai, </w:t>
      </w:r>
      <w:proofErr w:type="spellStart"/>
      <w:r w:rsidR="00167F6B" w:rsidRPr="001E51AD">
        <w:rPr>
          <w:i/>
          <w:sz w:val="24"/>
          <w:szCs w:val="24"/>
        </w:rPr>
        <w:t>common</w:t>
      </w:r>
      <w:proofErr w:type="spellEnd"/>
      <w:r w:rsidR="001E51AD" w:rsidRPr="001E51AD">
        <w:rPr>
          <w:i/>
          <w:sz w:val="24"/>
          <w:szCs w:val="24"/>
        </w:rPr>
        <w:t xml:space="preserve"> </w:t>
      </w:r>
      <w:proofErr w:type="spellStart"/>
      <w:r w:rsidR="00167F6B" w:rsidRPr="001E51AD">
        <w:rPr>
          <w:i/>
          <w:sz w:val="24"/>
          <w:szCs w:val="24"/>
        </w:rPr>
        <w:t>law</w:t>
      </w:r>
      <w:proofErr w:type="spellEnd"/>
      <w:r w:rsidR="00167F6B">
        <w:rPr>
          <w:sz w:val="24"/>
          <w:szCs w:val="24"/>
        </w:rPr>
        <w:t xml:space="preserve"> hagyományokat követő országokban született ítéletek)</w:t>
      </w:r>
      <w:r w:rsidR="00F03097">
        <w:rPr>
          <w:sz w:val="24"/>
          <w:szCs w:val="24"/>
        </w:rPr>
        <w:t>. Az</w:t>
      </w:r>
      <w:r w:rsidR="00167F6B">
        <w:rPr>
          <w:sz w:val="24"/>
          <w:szCs w:val="24"/>
        </w:rPr>
        <w:t xml:space="preserve"> első az Európai Bíróság </w:t>
      </w:r>
      <w:proofErr w:type="spellStart"/>
      <w:r w:rsidR="00167F6B" w:rsidRPr="00167F6B">
        <w:rPr>
          <w:i/>
          <w:sz w:val="24"/>
          <w:szCs w:val="24"/>
        </w:rPr>
        <w:t>De</w:t>
      </w:r>
      <w:r w:rsidR="008106DC">
        <w:rPr>
          <w:i/>
          <w:sz w:val="24"/>
          <w:szCs w:val="24"/>
        </w:rPr>
        <w:t>c</w:t>
      </w:r>
      <w:r w:rsidR="00167F6B" w:rsidRPr="00167F6B">
        <w:rPr>
          <w:i/>
          <w:sz w:val="24"/>
          <w:szCs w:val="24"/>
        </w:rPr>
        <w:t>kmyn</w:t>
      </w:r>
      <w:proofErr w:type="spellEnd"/>
      <w:r w:rsidR="00167F6B">
        <w:rPr>
          <w:sz w:val="24"/>
          <w:szCs w:val="24"/>
        </w:rPr>
        <w:t xml:space="preserve"> ítélete, a második a német </w:t>
      </w:r>
      <w:proofErr w:type="spellStart"/>
      <w:r w:rsidR="00167F6B" w:rsidRPr="004B3602">
        <w:rPr>
          <w:sz w:val="24"/>
          <w:szCs w:val="24"/>
        </w:rPr>
        <w:t>Bundesgerichtshof</w:t>
      </w:r>
      <w:proofErr w:type="spellEnd"/>
      <w:r w:rsidR="004B3602" w:rsidRPr="004B3602">
        <w:rPr>
          <w:sz w:val="24"/>
          <w:szCs w:val="24"/>
        </w:rPr>
        <w:t xml:space="preserve"> “</w:t>
      </w:r>
      <w:proofErr w:type="spellStart"/>
      <w:r w:rsidR="004B3602" w:rsidRPr="004B3602">
        <w:rPr>
          <w:rStyle w:val="Kiemels"/>
          <w:sz w:val="24"/>
          <w:szCs w:val="24"/>
        </w:rPr>
        <w:t>Auf</w:t>
      </w:r>
      <w:proofErr w:type="spellEnd"/>
      <w:r w:rsidR="004B3602" w:rsidRPr="004B3602">
        <w:rPr>
          <w:rStyle w:val="Kiemels"/>
          <w:sz w:val="24"/>
          <w:szCs w:val="24"/>
        </w:rPr>
        <w:t xml:space="preserve"> fett </w:t>
      </w:r>
      <w:proofErr w:type="spellStart"/>
      <w:r w:rsidR="004B3602" w:rsidRPr="004B3602">
        <w:rPr>
          <w:rStyle w:val="Kiemels"/>
          <w:sz w:val="24"/>
          <w:szCs w:val="24"/>
        </w:rPr>
        <w:t>getrimmt</w:t>
      </w:r>
      <w:proofErr w:type="spellEnd"/>
      <w:r w:rsidR="004B3602" w:rsidRPr="004B3602">
        <w:rPr>
          <w:sz w:val="24"/>
          <w:szCs w:val="24"/>
        </w:rPr>
        <w:t>”</w:t>
      </w:r>
      <w:r w:rsidR="00167F6B" w:rsidRPr="004B3602">
        <w:rPr>
          <w:sz w:val="24"/>
          <w:szCs w:val="24"/>
        </w:rPr>
        <w:t xml:space="preserve"> ítélete</w:t>
      </w:r>
      <w:r w:rsidR="00167F6B">
        <w:rPr>
          <w:sz w:val="24"/>
          <w:szCs w:val="24"/>
        </w:rPr>
        <w:t>, a harmadik</w:t>
      </w:r>
      <w:r w:rsidR="005D42E9">
        <w:rPr>
          <w:sz w:val="24"/>
          <w:szCs w:val="24"/>
        </w:rPr>
        <w:t xml:space="preserve"> és a negyedik pedig </w:t>
      </w:r>
      <w:r w:rsidR="00167F6B">
        <w:rPr>
          <w:sz w:val="24"/>
          <w:szCs w:val="24"/>
        </w:rPr>
        <w:t xml:space="preserve">a francia </w:t>
      </w:r>
      <w:proofErr w:type="spellStart"/>
      <w:r w:rsidR="00167F6B" w:rsidRPr="00167F6B">
        <w:rPr>
          <w:i/>
          <w:sz w:val="24"/>
          <w:szCs w:val="24"/>
        </w:rPr>
        <w:t>Pean</w:t>
      </w:r>
      <w:r w:rsidR="004B3602">
        <w:rPr>
          <w:i/>
          <w:sz w:val="24"/>
          <w:szCs w:val="24"/>
        </w:rPr>
        <w:t>uts</w:t>
      </w:r>
      <w:proofErr w:type="spellEnd"/>
      <w:r w:rsidR="00167F6B">
        <w:rPr>
          <w:sz w:val="24"/>
          <w:szCs w:val="24"/>
        </w:rPr>
        <w:t xml:space="preserve"> </w:t>
      </w:r>
      <w:r w:rsidR="005D42E9">
        <w:rPr>
          <w:sz w:val="24"/>
          <w:szCs w:val="24"/>
        </w:rPr>
        <w:t xml:space="preserve">és a </w:t>
      </w:r>
      <w:proofErr w:type="spellStart"/>
      <w:r w:rsidR="00116453" w:rsidRPr="00116453">
        <w:rPr>
          <w:i/>
          <w:sz w:val="24"/>
          <w:szCs w:val="24"/>
        </w:rPr>
        <w:t>Tarzoon</w:t>
      </w:r>
      <w:proofErr w:type="spellEnd"/>
      <w:r w:rsidR="00116453" w:rsidRPr="00116453">
        <w:rPr>
          <w:i/>
          <w:sz w:val="24"/>
          <w:szCs w:val="24"/>
        </w:rPr>
        <w:t xml:space="preserve"> </w:t>
      </w:r>
      <w:r w:rsidR="00167F6B">
        <w:rPr>
          <w:sz w:val="24"/>
          <w:szCs w:val="24"/>
        </w:rPr>
        <w:t>ítélet</w:t>
      </w:r>
      <w:r w:rsidR="008106DC">
        <w:rPr>
          <w:sz w:val="24"/>
          <w:szCs w:val="24"/>
        </w:rPr>
        <w:t>.</w:t>
      </w:r>
      <w:r w:rsidR="00167F6B">
        <w:rPr>
          <w:sz w:val="24"/>
          <w:szCs w:val="24"/>
        </w:rPr>
        <w:t xml:space="preserve"> </w:t>
      </w:r>
    </w:p>
    <w:p w:rsidR="008106DC" w:rsidRDefault="008106DC" w:rsidP="00195B20">
      <w:pPr>
        <w:jc w:val="both"/>
        <w:rPr>
          <w:sz w:val="24"/>
          <w:szCs w:val="24"/>
        </w:rPr>
      </w:pPr>
    </w:p>
    <w:p w:rsidR="00E5624C" w:rsidRDefault="00DD2393" w:rsidP="00195B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F03097">
        <w:rPr>
          <w:sz w:val="24"/>
          <w:szCs w:val="24"/>
        </w:rPr>
        <w:t xml:space="preserve">A </w:t>
      </w:r>
      <w:proofErr w:type="spellStart"/>
      <w:r w:rsidR="00F03097" w:rsidRPr="00F03097">
        <w:rPr>
          <w:i/>
          <w:sz w:val="24"/>
          <w:szCs w:val="24"/>
        </w:rPr>
        <w:t>De</w:t>
      </w:r>
      <w:r w:rsidR="008106DC">
        <w:rPr>
          <w:i/>
          <w:sz w:val="24"/>
          <w:szCs w:val="24"/>
        </w:rPr>
        <w:t>c</w:t>
      </w:r>
      <w:r w:rsidR="00F03097" w:rsidRPr="00F03097">
        <w:rPr>
          <w:i/>
          <w:sz w:val="24"/>
          <w:szCs w:val="24"/>
        </w:rPr>
        <w:t>kmyn</w:t>
      </w:r>
      <w:proofErr w:type="spellEnd"/>
      <w:r w:rsidR="00F03097">
        <w:rPr>
          <w:sz w:val="24"/>
          <w:szCs w:val="24"/>
        </w:rPr>
        <w:t xml:space="preserve"> ítélet </w:t>
      </w:r>
      <w:r w:rsidR="004B3602" w:rsidRPr="004B3602">
        <w:t>(</w:t>
      </w:r>
      <w:hyperlink r:id="rId11" w:tgtFrame="_blank" w:history="1">
        <w:r w:rsidR="004B3602" w:rsidRPr="004B3602">
          <w:rPr>
            <w:rStyle w:val="Hiperhivatkozs"/>
            <w:color w:val="auto"/>
            <w:u w:val="none"/>
          </w:rPr>
          <w:t>C-201/13</w:t>
        </w:r>
      </w:hyperlink>
      <w:r w:rsidR="004B3602" w:rsidRPr="004B3602">
        <w:t xml:space="preserve">) </w:t>
      </w:r>
      <w:r w:rsidR="00F03097">
        <w:rPr>
          <w:sz w:val="24"/>
          <w:szCs w:val="24"/>
        </w:rPr>
        <w:t>közismert</w:t>
      </w:r>
      <w:r w:rsidR="002D1613">
        <w:rPr>
          <w:sz w:val="24"/>
          <w:szCs w:val="24"/>
        </w:rPr>
        <w:t>;</w:t>
      </w:r>
      <w:r w:rsidR="00195B20">
        <w:rPr>
          <w:sz w:val="24"/>
          <w:szCs w:val="24"/>
        </w:rPr>
        <w:t xml:space="preserve"> csak </w:t>
      </w:r>
      <w:r w:rsidR="00F03097">
        <w:rPr>
          <w:sz w:val="24"/>
          <w:szCs w:val="24"/>
        </w:rPr>
        <w:t>mintegy kötelező gyakorlatként</w:t>
      </w:r>
      <w:r w:rsidR="00195B20">
        <w:rPr>
          <w:sz w:val="24"/>
          <w:szCs w:val="24"/>
        </w:rPr>
        <w:t xml:space="preserve"> </w:t>
      </w:r>
      <w:r w:rsidR="008106DC">
        <w:rPr>
          <w:sz w:val="24"/>
          <w:szCs w:val="24"/>
        </w:rPr>
        <w:t xml:space="preserve">utalok a megállapításaira, amelyek három részből állnak: </w:t>
      </w:r>
      <w:r w:rsidR="0055283B">
        <w:rPr>
          <w:sz w:val="24"/>
          <w:szCs w:val="24"/>
        </w:rPr>
        <w:t xml:space="preserve">(i) </w:t>
      </w:r>
      <w:r w:rsidR="008106DC">
        <w:rPr>
          <w:sz w:val="24"/>
          <w:szCs w:val="24"/>
        </w:rPr>
        <w:t xml:space="preserve">a paródia alapvető jellemzőinek a meghatározásából; </w:t>
      </w:r>
      <w:r w:rsidR="0055283B">
        <w:rPr>
          <w:sz w:val="24"/>
          <w:szCs w:val="24"/>
        </w:rPr>
        <w:t>(</w:t>
      </w:r>
      <w:proofErr w:type="spellStart"/>
      <w:r w:rsidR="0055283B">
        <w:rPr>
          <w:sz w:val="24"/>
          <w:szCs w:val="24"/>
        </w:rPr>
        <w:t>ii</w:t>
      </w:r>
      <w:proofErr w:type="spellEnd"/>
      <w:r w:rsidR="0055283B">
        <w:rPr>
          <w:sz w:val="24"/>
          <w:szCs w:val="24"/>
        </w:rPr>
        <w:t xml:space="preserve">) </w:t>
      </w:r>
      <w:r w:rsidR="008106DC">
        <w:rPr>
          <w:sz w:val="24"/>
          <w:szCs w:val="24"/>
        </w:rPr>
        <w:t xml:space="preserve">annak tisztázásából, hogy mitől nem függ a paródia fogalma; és </w:t>
      </w:r>
      <w:r w:rsidR="0055283B">
        <w:rPr>
          <w:sz w:val="24"/>
          <w:szCs w:val="24"/>
        </w:rPr>
        <w:t>(</w:t>
      </w:r>
      <w:proofErr w:type="spellStart"/>
      <w:r w:rsidR="0055283B">
        <w:rPr>
          <w:sz w:val="24"/>
          <w:szCs w:val="24"/>
        </w:rPr>
        <w:t>iii</w:t>
      </w:r>
      <w:proofErr w:type="spellEnd"/>
      <w:proofErr w:type="gramStart"/>
      <w:r w:rsidR="0055283B">
        <w:rPr>
          <w:sz w:val="24"/>
          <w:szCs w:val="24"/>
        </w:rPr>
        <w:t>)  általános</w:t>
      </w:r>
      <w:proofErr w:type="gramEnd"/>
      <w:r w:rsidR="0055283B">
        <w:rPr>
          <w:sz w:val="24"/>
          <w:szCs w:val="24"/>
        </w:rPr>
        <w:t xml:space="preserve"> iránymutatásból a paródiára vonatkozó kivétel gyakorlati alkalmazásá</w:t>
      </w:r>
      <w:r w:rsidR="002D1613">
        <w:rPr>
          <w:sz w:val="24"/>
          <w:szCs w:val="24"/>
        </w:rPr>
        <w:t>hoz</w:t>
      </w:r>
      <w:r w:rsidR="0055283B">
        <w:rPr>
          <w:sz w:val="24"/>
          <w:szCs w:val="24"/>
        </w:rPr>
        <w:t xml:space="preserve">. </w:t>
      </w:r>
      <w:proofErr w:type="gramStart"/>
      <w:r w:rsidR="0055283B">
        <w:rPr>
          <w:sz w:val="24"/>
          <w:szCs w:val="24"/>
        </w:rPr>
        <w:t>Az ítélet szerint (i) a paródia alapvető jellemzői</w:t>
      </w:r>
      <w:r w:rsidR="00B9116F">
        <w:rPr>
          <w:sz w:val="24"/>
          <w:szCs w:val="24"/>
        </w:rPr>
        <w:t>hez tartozik</w:t>
      </w:r>
      <w:r w:rsidR="0055283B">
        <w:rPr>
          <w:sz w:val="24"/>
          <w:szCs w:val="24"/>
        </w:rPr>
        <w:t xml:space="preserve"> egy létező mű felidézése, bizonyos érzékelhető eltérésekkel, amelyek a humor vagy gúny kifejezését szolgálják; (</w:t>
      </w:r>
      <w:proofErr w:type="spellStart"/>
      <w:r w:rsidR="0055283B">
        <w:rPr>
          <w:sz w:val="24"/>
          <w:szCs w:val="24"/>
        </w:rPr>
        <w:t>ii</w:t>
      </w:r>
      <w:proofErr w:type="spellEnd"/>
      <w:r w:rsidR="0055283B">
        <w:rPr>
          <w:sz w:val="24"/>
          <w:szCs w:val="24"/>
        </w:rPr>
        <w:t xml:space="preserve">) a fogalmához nem tartozik hozzá, hogy megfeleljen az eredetiség feltételének, </w:t>
      </w:r>
      <w:r w:rsidR="00E5624C">
        <w:rPr>
          <w:sz w:val="24"/>
          <w:szCs w:val="24"/>
        </w:rPr>
        <w:t>hogy ésszerűen az eredeti mű</w:t>
      </w:r>
      <w:r w:rsidR="00AB394D">
        <w:rPr>
          <w:sz w:val="24"/>
          <w:szCs w:val="24"/>
        </w:rPr>
        <w:t xml:space="preserve"> szerzőjétől </w:t>
      </w:r>
      <w:r w:rsidR="00E5624C">
        <w:rPr>
          <w:sz w:val="24"/>
          <w:szCs w:val="24"/>
        </w:rPr>
        <w:t>eltérő személynek legyen tulajdonítható, hogy magára az eredeti műre irányuljon, vagy hogy tartalmazza az eredeti mű forrásként való megjelölését; és (</w:t>
      </w:r>
      <w:proofErr w:type="spellStart"/>
      <w:r w:rsidR="00E5624C">
        <w:rPr>
          <w:sz w:val="24"/>
          <w:szCs w:val="24"/>
        </w:rPr>
        <w:t>iii</w:t>
      </w:r>
      <w:proofErr w:type="spellEnd"/>
      <w:r w:rsidR="00E5624C">
        <w:rPr>
          <w:sz w:val="24"/>
          <w:szCs w:val="24"/>
        </w:rPr>
        <w:t>) a kivétel gyakorlati alkalmazás</w:t>
      </w:r>
      <w:r w:rsidR="00821968">
        <w:rPr>
          <w:sz w:val="24"/>
          <w:szCs w:val="24"/>
        </w:rPr>
        <w:t xml:space="preserve">a során </w:t>
      </w:r>
      <w:r w:rsidR="00E5624C">
        <w:rPr>
          <w:sz w:val="24"/>
          <w:szCs w:val="24"/>
        </w:rPr>
        <w:t xml:space="preserve"> megfelelő</w:t>
      </w:r>
      <w:r w:rsidR="00B9116F">
        <w:rPr>
          <w:sz w:val="24"/>
          <w:szCs w:val="24"/>
        </w:rPr>
        <w:t xml:space="preserve"> egyensúlyt kell biztosítani, egyrészről az eredeti mű szerzőj</w:t>
      </w:r>
      <w:r w:rsidR="00821968">
        <w:rPr>
          <w:sz w:val="24"/>
          <w:szCs w:val="24"/>
        </w:rPr>
        <w:t>e</w:t>
      </w:r>
      <w:r w:rsidR="00B9116F">
        <w:rPr>
          <w:sz w:val="24"/>
          <w:szCs w:val="24"/>
        </w:rPr>
        <w:t xml:space="preserve"> érdekei és jogai, másrészt a paródiát</w:t>
      </w:r>
      <w:proofErr w:type="gramEnd"/>
      <w:r w:rsidR="00B9116F">
        <w:rPr>
          <w:sz w:val="24"/>
          <w:szCs w:val="24"/>
        </w:rPr>
        <w:t xml:space="preserve"> </w:t>
      </w:r>
      <w:proofErr w:type="gramStart"/>
      <w:r w:rsidR="00B9116F">
        <w:rPr>
          <w:sz w:val="24"/>
          <w:szCs w:val="24"/>
        </w:rPr>
        <w:t>művelő</w:t>
      </w:r>
      <w:proofErr w:type="gramEnd"/>
      <w:r w:rsidR="00B9116F">
        <w:rPr>
          <w:sz w:val="24"/>
          <w:szCs w:val="24"/>
        </w:rPr>
        <w:t xml:space="preserve"> személy véleménynyilvánítási szabadság</w:t>
      </w:r>
      <w:r w:rsidR="00821968">
        <w:rPr>
          <w:sz w:val="24"/>
          <w:szCs w:val="24"/>
        </w:rPr>
        <w:t xml:space="preserve">a </w:t>
      </w:r>
      <w:r w:rsidR="00B9116F">
        <w:rPr>
          <w:sz w:val="24"/>
          <w:szCs w:val="24"/>
        </w:rPr>
        <w:t xml:space="preserve">védelmének.  </w:t>
      </w:r>
      <w:r w:rsidR="00E5624C">
        <w:rPr>
          <w:sz w:val="24"/>
          <w:szCs w:val="24"/>
        </w:rPr>
        <w:t xml:space="preserve">  </w:t>
      </w:r>
    </w:p>
    <w:p w:rsidR="00E5624C" w:rsidRDefault="00E5624C" w:rsidP="00195B20">
      <w:pPr>
        <w:jc w:val="both"/>
        <w:rPr>
          <w:sz w:val="24"/>
          <w:szCs w:val="24"/>
        </w:rPr>
      </w:pPr>
    </w:p>
    <w:p w:rsidR="00AB394D" w:rsidRDefault="00DD2393" w:rsidP="00AB39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E5624C">
        <w:rPr>
          <w:sz w:val="24"/>
          <w:szCs w:val="24"/>
        </w:rPr>
        <w:t>Ezek</w:t>
      </w:r>
      <w:r w:rsidR="00B9116F">
        <w:rPr>
          <w:sz w:val="24"/>
          <w:szCs w:val="24"/>
        </w:rPr>
        <w:t xml:space="preserve"> az ismérvek általában megfelelőnek látszanak. </w:t>
      </w:r>
      <w:r w:rsidR="00D7723F">
        <w:rPr>
          <w:sz w:val="24"/>
          <w:szCs w:val="24"/>
        </w:rPr>
        <w:t>A</w:t>
      </w:r>
      <w:r w:rsidR="009F4924">
        <w:rPr>
          <w:sz w:val="24"/>
          <w:szCs w:val="24"/>
        </w:rPr>
        <w:t xml:space="preserve">nnak a feltételnek a hiánya </w:t>
      </w:r>
      <w:r w:rsidR="00D7723F">
        <w:rPr>
          <w:sz w:val="24"/>
          <w:szCs w:val="24"/>
        </w:rPr>
        <w:t>azonban pro</w:t>
      </w:r>
      <w:r w:rsidR="00B9116F">
        <w:rPr>
          <w:sz w:val="24"/>
          <w:szCs w:val="24"/>
        </w:rPr>
        <w:t>blematikusnak</w:t>
      </w:r>
      <w:r w:rsidR="00D7723F">
        <w:rPr>
          <w:sz w:val="24"/>
          <w:szCs w:val="24"/>
        </w:rPr>
        <w:t xml:space="preserve"> </w:t>
      </w:r>
      <w:r w:rsidR="009F4924">
        <w:rPr>
          <w:sz w:val="24"/>
          <w:szCs w:val="24"/>
        </w:rPr>
        <w:t xml:space="preserve">tűnik, </w:t>
      </w:r>
      <w:r w:rsidR="00D7723F">
        <w:rPr>
          <w:sz w:val="24"/>
          <w:szCs w:val="24"/>
        </w:rPr>
        <w:t>hogy a paródia ésszerűen ne az eredeti mű szerzőjének, hanem attól eltérő személynek legyen tulajdonítható</w:t>
      </w:r>
      <w:r w:rsidR="009F4924">
        <w:rPr>
          <w:sz w:val="24"/>
          <w:szCs w:val="24"/>
        </w:rPr>
        <w:t xml:space="preserve">. Ha nincs ilyen feltétel, ha a paródia úgy tűnhet fel, jóllehet nincs szó erről, hogy az az eredeti mű szerzőjének a produktuma, jóval nagyobb esély van </w:t>
      </w:r>
      <w:r w:rsidR="00D157AC">
        <w:rPr>
          <w:sz w:val="24"/>
          <w:szCs w:val="24"/>
        </w:rPr>
        <w:t>arra, hogy a szerző becsületét vagy/és jó hírnevét sérthetik a paródiában megjelenő módosítások.  Így a rendelkező résznek ezzel a megállapításával az is gond, hogy személyhez fűződő jogokat érinthet, amelyre nem terjed ki az EU jog</w:t>
      </w:r>
      <w:r w:rsidR="00821968">
        <w:rPr>
          <w:sz w:val="24"/>
          <w:szCs w:val="24"/>
        </w:rPr>
        <w:t>i szabályozás</w:t>
      </w:r>
      <w:r w:rsidR="00D157AC">
        <w:rPr>
          <w:sz w:val="24"/>
          <w:szCs w:val="24"/>
        </w:rPr>
        <w:t xml:space="preserve"> és így az Európai Bíróság hatásköre sem. Ezért, ha egy törvényhozásnak</w:t>
      </w:r>
      <w:r w:rsidR="00AB394D">
        <w:rPr>
          <w:sz w:val="24"/>
          <w:szCs w:val="24"/>
        </w:rPr>
        <w:t xml:space="preserve"> vagy nemzeti bíróságnak</w:t>
      </w:r>
      <w:r w:rsidR="00D157AC">
        <w:rPr>
          <w:sz w:val="24"/>
          <w:szCs w:val="24"/>
        </w:rPr>
        <w:t xml:space="preserve"> </w:t>
      </w:r>
      <w:r w:rsidR="00821968">
        <w:rPr>
          <w:sz w:val="24"/>
          <w:szCs w:val="24"/>
        </w:rPr>
        <w:t>van</w:t>
      </w:r>
      <w:r w:rsidR="00D157AC">
        <w:rPr>
          <w:sz w:val="24"/>
          <w:szCs w:val="24"/>
        </w:rPr>
        <w:t xml:space="preserve"> annyi bátorsága, hogy visszautasítsa az ilyen fajta – </w:t>
      </w:r>
      <w:r w:rsidR="00AB394D">
        <w:rPr>
          <w:sz w:val="24"/>
          <w:szCs w:val="24"/>
        </w:rPr>
        <w:t xml:space="preserve">megfelelő </w:t>
      </w:r>
      <w:r w:rsidR="00D157AC">
        <w:rPr>
          <w:sz w:val="24"/>
          <w:szCs w:val="24"/>
        </w:rPr>
        <w:t>felhatalmazás</w:t>
      </w:r>
      <w:r w:rsidR="00AB394D">
        <w:rPr>
          <w:sz w:val="24"/>
          <w:szCs w:val="24"/>
        </w:rPr>
        <w:t xml:space="preserve"> nélküli – </w:t>
      </w:r>
      <w:r w:rsidR="00D157AC">
        <w:rPr>
          <w:sz w:val="24"/>
          <w:szCs w:val="24"/>
        </w:rPr>
        <w:t xml:space="preserve">„lopakodó </w:t>
      </w:r>
      <w:r w:rsidR="00AB394D">
        <w:rPr>
          <w:sz w:val="24"/>
          <w:szCs w:val="24"/>
        </w:rPr>
        <w:t>harmonizációt”, megtehet</w:t>
      </w:r>
      <w:r w:rsidR="00821968">
        <w:rPr>
          <w:sz w:val="24"/>
          <w:szCs w:val="24"/>
        </w:rPr>
        <w:t>i</w:t>
      </w:r>
      <w:r w:rsidR="00AB394D">
        <w:rPr>
          <w:sz w:val="24"/>
          <w:szCs w:val="24"/>
        </w:rPr>
        <w:t xml:space="preserve">, hogy mégis alkalmazzon egy olyan feltételt, amely szerint </w:t>
      </w:r>
      <w:r w:rsidR="00821968">
        <w:rPr>
          <w:sz w:val="24"/>
          <w:szCs w:val="24"/>
        </w:rPr>
        <w:t>a paródia</w:t>
      </w:r>
      <w:r w:rsidR="00AB394D">
        <w:rPr>
          <w:sz w:val="24"/>
          <w:szCs w:val="24"/>
        </w:rPr>
        <w:t xml:space="preserve"> ésszerűen az eredeti mű szerzőjétől eltérő személynek legyen tulajdonítható. </w:t>
      </w:r>
    </w:p>
    <w:p w:rsidR="00AB394D" w:rsidRDefault="00AB394D" w:rsidP="00AB394D">
      <w:pPr>
        <w:jc w:val="both"/>
        <w:rPr>
          <w:sz w:val="24"/>
          <w:szCs w:val="24"/>
        </w:rPr>
      </w:pPr>
    </w:p>
    <w:p w:rsidR="00AB394D" w:rsidRPr="00AB394D" w:rsidRDefault="00DD2393" w:rsidP="003C5CE2">
      <w:pPr>
        <w:pStyle w:val="c32dispositifmarge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25. </w:t>
      </w:r>
      <w:r w:rsidR="00AB394D" w:rsidRPr="00AB394D">
        <w:rPr>
          <w:rFonts w:asciiTheme="minorHAnsi" w:hAnsiTheme="minorHAnsi" w:cstheme="minorHAnsi"/>
        </w:rPr>
        <w:t xml:space="preserve">Azonban </w:t>
      </w:r>
      <w:r w:rsidR="00AB394D" w:rsidRPr="00AB394D">
        <w:rPr>
          <w:rFonts w:asciiTheme="minorHAnsi" w:hAnsiTheme="minorHAnsi" w:cstheme="minorHAnsi"/>
          <w:bCs/>
        </w:rPr>
        <w:t>– bár ez nem tükröződik a rendelkező részben – az ítéletben vannak olyan megállapítások</w:t>
      </w:r>
      <w:r w:rsidR="00821968">
        <w:rPr>
          <w:rFonts w:asciiTheme="minorHAnsi" w:hAnsiTheme="minorHAnsi" w:cstheme="minorHAnsi"/>
          <w:bCs/>
        </w:rPr>
        <w:t xml:space="preserve"> is</w:t>
      </w:r>
      <w:r w:rsidR="00AB394D" w:rsidRPr="00AB394D">
        <w:rPr>
          <w:rFonts w:asciiTheme="minorHAnsi" w:hAnsiTheme="minorHAnsi" w:cstheme="minorHAnsi"/>
          <w:bCs/>
        </w:rPr>
        <w:t xml:space="preserve">, amelyek </w:t>
      </w:r>
      <w:r w:rsidR="00AB394D">
        <w:rPr>
          <w:rFonts w:asciiTheme="minorHAnsi" w:hAnsiTheme="minorHAnsi" w:cstheme="minorHAnsi"/>
          <w:bCs/>
        </w:rPr>
        <w:t xml:space="preserve">még közvetlenebbül érintik </w:t>
      </w:r>
      <w:r w:rsidR="00AB394D" w:rsidRPr="00AB394D">
        <w:rPr>
          <w:rFonts w:asciiTheme="minorHAnsi" w:hAnsiTheme="minorHAnsi" w:cstheme="minorHAnsi"/>
          <w:bCs/>
        </w:rPr>
        <w:t>a mű integritása védelm</w:t>
      </w:r>
      <w:r w:rsidR="00AB394D">
        <w:rPr>
          <w:rFonts w:asciiTheme="minorHAnsi" w:hAnsiTheme="minorHAnsi" w:cstheme="minorHAnsi"/>
          <w:bCs/>
        </w:rPr>
        <w:t>ének a jogát.</w:t>
      </w:r>
      <w:r w:rsidR="00AB394D" w:rsidRPr="00AB394D">
        <w:rPr>
          <w:rFonts w:asciiTheme="minorHAnsi" w:hAnsiTheme="minorHAnsi" w:cstheme="minorHAnsi"/>
          <w:bCs/>
        </w:rPr>
        <w:t xml:space="preserve"> </w:t>
      </w:r>
      <w:r w:rsidR="00E12511">
        <w:rPr>
          <w:rFonts w:asciiTheme="minorHAnsi" w:hAnsiTheme="minorHAnsi" w:cstheme="minorHAnsi"/>
          <w:bCs/>
        </w:rPr>
        <w:t>Az ítélet szerint ú</w:t>
      </w:r>
      <w:r w:rsidR="00AB394D" w:rsidRPr="00AB394D">
        <w:rPr>
          <w:rFonts w:asciiTheme="minorHAnsi" w:hAnsiTheme="minorHAnsi" w:cstheme="minorHAnsi"/>
          <w:bCs/>
        </w:rPr>
        <w:t xml:space="preserve">gy vélte a Bíróság, hogy a </w:t>
      </w:r>
      <w:proofErr w:type="spellStart"/>
      <w:r w:rsidR="00055100">
        <w:rPr>
          <w:rFonts w:asciiTheme="minorHAnsi" w:hAnsiTheme="minorHAnsi" w:cstheme="minorHAnsi"/>
          <w:bCs/>
        </w:rPr>
        <w:t>Ghent</w:t>
      </w:r>
      <w:proofErr w:type="spellEnd"/>
      <w:r w:rsidR="00055100">
        <w:rPr>
          <w:rFonts w:asciiTheme="minorHAnsi" w:hAnsiTheme="minorHAnsi" w:cstheme="minorHAnsi"/>
          <w:bCs/>
        </w:rPr>
        <w:t xml:space="preserve"> </w:t>
      </w:r>
      <w:r w:rsidR="00AB394D" w:rsidRPr="00AB394D">
        <w:rPr>
          <w:rFonts w:asciiTheme="minorHAnsi" w:hAnsiTheme="minorHAnsi" w:cstheme="minorHAnsi"/>
          <w:bCs/>
        </w:rPr>
        <w:t>polgármester bírálata a migránsok túl bőkezű támogatás</w:t>
      </w:r>
      <w:r w:rsidR="00055100">
        <w:rPr>
          <w:rFonts w:asciiTheme="minorHAnsi" w:hAnsiTheme="minorHAnsi" w:cstheme="minorHAnsi"/>
          <w:bCs/>
        </w:rPr>
        <w:t xml:space="preserve">a miatt </w:t>
      </w:r>
      <w:r w:rsidR="00AB394D" w:rsidRPr="00AB394D">
        <w:rPr>
          <w:rFonts w:asciiTheme="minorHAnsi" w:hAnsiTheme="minorHAnsi" w:cstheme="minorHAnsi"/>
          <w:bCs/>
        </w:rPr>
        <w:t xml:space="preserve">diszkriminatív jellegű és az eredeti mű jogosultjai ezért joggal tiltakozhatnak a parodisztikus felhasználás ellen. Ha elfogadjuk ezt (bár a Bíróság nem fejti ki eléggé világosan, pontosan miben is áll a diszkrimináció) akkor a jogosultak tiltakozása egyértelműen a mű integritása védelmének a jogára épülhetett </w:t>
      </w:r>
      <w:r w:rsidR="00E12511">
        <w:rPr>
          <w:rFonts w:asciiTheme="minorHAnsi" w:hAnsiTheme="minorHAnsi" w:cstheme="minorHAnsi"/>
          <w:bCs/>
        </w:rPr>
        <w:t>volna</w:t>
      </w:r>
      <w:r w:rsidR="00AB394D" w:rsidRPr="00AB394D">
        <w:rPr>
          <w:rFonts w:asciiTheme="minorHAnsi" w:hAnsiTheme="minorHAnsi" w:cstheme="minorHAnsi"/>
          <w:bCs/>
        </w:rPr>
        <w:t xml:space="preserve">. Ez </w:t>
      </w:r>
      <w:r w:rsidR="00E12511">
        <w:rPr>
          <w:rFonts w:asciiTheme="minorHAnsi" w:hAnsiTheme="minorHAnsi" w:cstheme="minorHAnsi"/>
          <w:bCs/>
        </w:rPr>
        <w:t xml:space="preserve">még inkább „lopakodó harmonizációnak” tűnhet; </w:t>
      </w:r>
      <w:r w:rsidR="00AB394D" w:rsidRPr="00AB394D">
        <w:rPr>
          <w:rFonts w:asciiTheme="minorHAnsi" w:hAnsiTheme="minorHAnsi" w:cstheme="minorHAnsi"/>
          <w:bCs/>
        </w:rPr>
        <w:t>a Bíróság olyan kérdésben foglalt állást, ami</w:t>
      </w:r>
      <w:r w:rsidR="00E12511">
        <w:rPr>
          <w:rFonts w:asciiTheme="minorHAnsi" w:hAnsiTheme="minorHAnsi" w:cstheme="minorHAnsi"/>
          <w:bCs/>
        </w:rPr>
        <w:t>re</w:t>
      </w:r>
      <w:r w:rsidR="00AB394D" w:rsidRPr="00AB394D">
        <w:rPr>
          <w:rFonts w:asciiTheme="minorHAnsi" w:hAnsiTheme="minorHAnsi" w:cstheme="minorHAnsi"/>
          <w:bCs/>
        </w:rPr>
        <w:t xml:space="preserve"> – miután a személyhez fűződő jogokra nem terjed ki az uniós szabályozás – aligha volt hatásköre.  </w:t>
      </w:r>
    </w:p>
    <w:p w:rsidR="00195B20" w:rsidRDefault="00B9116F" w:rsidP="003C5C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24C">
        <w:rPr>
          <w:sz w:val="24"/>
          <w:szCs w:val="24"/>
        </w:rPr>
        <w:t xml:space="preserve">    </w:t>
      </w:r>
      <w:r w:rsidR="0055283B">
        <w:rPr>
          <w:sz w:val="24"/>
          <w:szCs w:val="24"/>
        </w:rPr>
        <w:t xml:space="preserve">   </w:t>
      </w:r>
      <w:r w:rsidR="008106DC">
        <w:rPr>
          <w:sz w:val="24"/>
          <w:szCs w:val="24"/>
        </w:rPr>
        <w:t xml:space="preserve">     </w:t>
      </w:r>
    </w:p>
    <w:p w:rsidR="00782B1A" w:rsidRPr="00A05C40" w:rsidRDefault="00DD2393" w:rsidP="003C5CE2">
      <w:pPr>
        <w:pStyle w:val="c32dispositifmarge1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26. </w:t>
      </w:r>
      <w:r w:rsidR="00F06BEA" w:rsidRPr="00A05C40">
        <w:rPr>
          <w:rFonts w:asciiTheme="minorHAnsi" w:hAnsiTheme="minorHAnsi" w:cstheme="minorHAnsi"/>
          <w:bCs/>
        </w:rPr>
        <w:t xml:space="preserve">A BGH </w:t>
      </w:r>
      <w:r w:rsidR="004B3602" w:rsidRPr="00A05C40">
        <w:rPr>
          <w:rFonts w:asciiTheme="minorHAnsi" w:hAnsiTheme="minorHAnsi" w:cstheme="minorHAnsi"/>
        </w:rPr>
        <w:t>“</w:t>
      </w:r>
      <w:proofErr w:type="spellStart"/>
      <w:r w:rsidR="004B3602" w:rsidRPr="00A05C40">
        <w:rPr>
          <w:rStyle w:val="Kiemels"/>
          <w:rFonts w:asciiTheme="minorHAnsi" w:hAnsiTheme="minorHAnsi" w:cstheme="minorHAnsi"/>
        </w:rPr>
        <w:t>Auf</w:t>
      </w:r>
      <w:proofErr w:type="spellEnd"/>
      <w:r w:rsidR="004B3602" w:rsidRPr="00A05C40">
        <w:rPr>
          <w:rStyle w:val="Kiemels"/>
          <w:rFonts w:asciiTheme="minorHAnsi" w:hAnsiTheme="minorHAnsi" w:cstheme="minorHAnsi"/>
        </w:rPr>
        <w:t xml:space="preserve"> fett </w:t>
      </w:r>
      <w:proofErr w:type="spellStart"/>
      <w:r w:rsidR="004B3602" w:rsidRPr="00A05C40">
        <w:rPr>
          <w:rStyle w:val="Kiemels"/>
          <w:rFonts w:asciiTheme="minorHAnsi" w:hAnsiTheme="minorHAnsi" w:cstheme="minorHAnsi"/>
        </w:rPr>
        <w:t>getrimmt</w:t>
      </w:r>
      <w:proofErr w:type="spellEnd"/>
      <w:r w:rsidR="004B3602" w:rsidRPr="00A05C40">
        <w:rPr>
          <w:rFonts w:asciiTheme="minorHAnsi" w:hAnsiTheme="minorHAnsi" w:cstheme="minorHAnsi"/>
        </w:rPr>
        <w:t xml:space="preserve">” </w:t>
      </w:r>
      <w:r w:rsidR="00F06BEA" w:rsidRPr="00A05C40">
        <w:rPr>
          <w:rFonts w:asciiTheme="minorHAnsi" w:hAnsiTheme="minorHAnsi" w:cstheme="minorHAnsi"/>
          <w:bCs/>
        </w:rPr>
        <w:t>ítélete</w:t>
      </w:r>
      <w:r w:rsidR="00730B60" w:rsidRPr="00A05C40">
        <w:rPr>
          <w:rStyle w:val="Lbjegyzet-hivatkozs"/>
          <w:rFonts w:asciiTheme="minorHAnsi" w:hAnsiTheme="minorHAnsi" w:cstheme="minorHAnsi"/>
          <w:bCs/>
        </w:rPr>
        <w:footnoteReference w:id="6"/>
      </w:r>
      <w:r w:rsidR="00F06BEA" w:rsidRPr="00A05C40">
        <w:rPr>
          <w:rFonts w:asciiTheme="minorHAnsi" w:hAnsiTheme="minorHAnsi" w:cstheme="minorHAnsi"/>
          <w:bCs/>
        </w:rPr>
        <w:t xml:space="preserve"> annak egyértelmű bizonyítéka, hogy </w:t>
      </w:r>
      <w:r w:rsidR="00E464BE" w:rsidRPr="00A05C40">
        <w:rPr>
          <w:rFonts w:asciiTheme="minorHAnsi" w:hAnsiTheme="minorHAnsi" w:cstheme="minorHAnsi"/>
          <w:bCs/>
        </w:rPr>
        <w:t xml:space="preserve">– </w:t>
      </w:r>
      <w:r w:rsidR="00F06BEA" w:rsidRPr="00A05C40">
        <w:rPr>
          <w:rFonts w:asciiTheme="minorHAnsi" w:hAnsiTheme="minorHAnsi" w:cstheme="minorHAnsi"/>
          <w:bCs/>
        </w:rPr>
        <w:t>a jogbizonytalanság elkerülése végett</w:t>
      </w:r>
      <w:r w:rsidR="00E464BE" w:rsidRPr="00A05C40">
        <w:rPr>
          <w:rFonts w:asciiTheme="minorHAnsi" w:hAnsiTheme="minorHAnsi" w:cstheme="minorHAnsi"/>
          <w:bCs/>
        </w:rPr>
        <w:t xml:space="preserve"> – </w:t>
      </w:r>
      <w:r w:rsidR="00F06BEA" w:rsidRPr="00A05C40">
        <w:rPr>
          <w:rFonts w:asciiTheme="minorHAnsi" w:hAnsiTheme="minorHAnsi" w:cstheme="minorHAnsi"/>
          <w:bCs/>
        </w:rPr>
        <w:t xml:space="preserve">nem tanácsos a paródia kérdéseit </w:t>
      </w:r>
      <w:r w:rsidR="00F1623A" w:rsidRPr="00A05C40">
        <w:rPr>
          <w:rFonts w:asciiTheme="minorHAnsi" w:hAnsiTheme="minorHAnsi" w:cstheme="minorHAnsi"/>
          <w:bCs/>
        </w:rPr>
        <w:t>csupán az</w:t>
      </w:r>
      <w:r w:rsidR="00E464BE" w:rsidRPr="00A05C40">
        <w:rPr>
          <w:rFonts w:asciiTheme="minorHAnsi" w:hAnsiTheme="minorHAnsi" w:cstheme="minorHAnsi"/>
          <w:bCs/>
        </w:rPr>
        <w:t xml:space="preserve"> </w:t>
      </w:r>
      <w:r w:rsidR="00F06BEA" w:rsidRPr="00A05C40">
        <w:rPr>
          <w:rFonts w:asciiTheme="minorHAnsi" w:hAnsiTheme="minorHAnsi" w:cstheme="minorHAnsi"/>
          <w:bCs/>
        </w:rPr>
        <w:t xml:space="preserve">általános jogelvekre </w:t>
      </w:r>
      <w:r w:rsidR="00E464BE" w:rsidRPr="00A05C40">
        <w:rPr>
          <w:rFonts w:asciiTheme="minorHAnsi" w:hAnsiTheme="minorHAnsi" w:cstheme="minorHAnsi"/>
          <w:bCs/>
        </w:rPr>
        <w:t xml:space="preserve">hagyni. Olyan egyre szélesebb körben elterjedő („demokratizálódó”) felhasználásról van szó, amely speciális szabályozást igényel.  A német jogban </w:t>
      </w:r>
      <w:r w:rsidR="00055100">
        <w:rPr>
          <w:rFonts w:asciiTheme="minorHAnsi" w:hAnsiTheme="minorHAnsi" w:cstheme="minorHAnsi"/>
          <w:bCs/>
        </w:rPr>
        <w:t xml:space="preserve">pedig </w:t>
      </w:r>
      <w:r w:rsidR="00E464BE" w:rsidRPr="00A05C40">
        <w:rPr>
          <w:rFonts w:asciiTheme="minorHAnsi" w:hAnsiTheme="minorHAnsi" w:cstheme="minorHAnsi"/>
          <w:bCs/>
        </w:rPr>
        <w:t>n</w:t>
      </w:r>
      <w:r w:rsidR="00EC071F">
        <w:rPr>
          <w:rFonts w:asciiTheme="minorHAnsi" w:hAnsiTheme="minorHAnsi" w:cstheme="minorHAnsi"/>
          <w:bCs/>
        </w:rPr>
        <w:t xml:space="preserve">incs </w:t>
      </w:r>
      <w:r w:rsidR="00E464BE" w:rsidRPr="00A05C40">
        <w:rPr>
          <w:rFonts w:asciiTheme="minorHAnsi" w:hAnsiTheme="minorHAnsi" w:cstheme="minorHAnsi"/>
          <w:bCs/>
        </w:rPr>
        <w:t>külön rendelkezés a paródiára</w:t>
      </w:r>
      <w:r w:rsidR="004B3602" w:rsidRPr="00A05C40">
        <w:rPr>
          <w:rFonts w:asciiTheme="minorHAnsi" w:hAnsiTheme="minorHAnsi" w:cstheme="minorHAnsi"/>
          <w:bCs/>
        </w:rPr>
        <w:t>. A</w:t>
      </w:r>
      <w:r w:rsidR="00E464BE" w:rsidRPr="00A05C40">
        <w:rPr>
          <w:rFonts w:asciiTheme="minorHAnsi" w:hAnsiTheme="minorHAnsi" w:cstheme="minorHAnsi"/>
          <w:bCs/>
        </w:rPr>
        <w:t xml:space="preserve"> bírói gyakorlat a német szerzői jogi törvény 24</w:t>
      </w:r>
      <w:r w:rsidR="00EC071F">
        <w:rPr>
          <w:rFonts w:asciiTheme="minorHAnsi" w:hAnsiTheme="minorHAnsi" w:cstheme="minorHAnsi"/>
          <w:bCs/>
        </w:rPr>
        <w:t>.§</w:t>
      </w:r>
      <w:proofErr w:type="spellStart"/>
      <w:r w:rsidR="00EC071F">
        <w:rPr>
          <w:rFonts w:asciiTheme="minorHAnsi" w:hAnsiTheme="minorHAnsi" w:cstheme="minorHAnsi"/>
          <w:bCs/>
        </w:rPr>
        <w:t>-</w:t>
      </w:r>
      <w:r w:rsidR="001F2A44">
        <w:rPr>
          <w:rFonts w:asciiTheme="minorHAnsi" w:hAnsiTheme="minorHAnsi" w:cstheme="minorHAnsi"/>
          <w:bCs/>
        </w:rPr>
        <w:t>a</w:t>
      </w:r>
      <w:proofErr w:type="spellEnd"/>
      <w:r w:rsidR="00EC071F">
        <w:rPr>
          <w:rFonts w:asciiTheme="minorHAnsi" w:hAnsiTheme="minorHAnsi" w:cstheme="minorHAnsi"/>
          <w:bCs/>
        </w:rPr>
        <w:t xml:space="preserve"> </w:t>
      </w:r>
      <w:r w:rsidR="00E464BE" w:rsidRPr="00A05C40">
        <w:rPr>
          <w:rFonts w:asciiTheme="minorHAnsi" w:hAnsiTheme="minorHAnsi" w:cstheme="minorHAnsi"/>
          <w:bCs/>
        </w:rPr>
        <w:t>szerinti „szabad felhasználás</w:t>
      </w:r>
      <w:r w:rsidR="00EC071F">
        <w:rPr>
          <w:rFonts w:asciiTheme="minorHAnsi" w:hAnsiTheme="minorHAnsi" w:cstheme="minorHAnsi"/>
          <w:bCs/>
        </w:rPr>
        <w:t>ként</w:t>
      </w:r>
      <w:r w:rsidR="00E464BE" w:rsidRPr="00A05C40">
        <w:rPr>
          <w:rFonts w:asciiTheme="minorHAnsi" w:hAnsiTheme="minorHAnsi" w:cstheme="minorHAnsi"/>
          <w:bCs/>
        </w:rPr>
        <w:t>”</w:t>
      </w:r>
      <w:r w:rsidR="001F2A44">
        <w:rPr>
          <w:rStyle w:val="Lbjegyzet-hivatkozs"/>
          <w:rFonts w:asciiTheme="minorHAnsi" w:hAnsiTheme="minorHAnsi" w:cstheme="minorHAnsi"/>
          <w:bCs/>
        </w:rPr>
        <w:footnoteReference w:id="7"/>
      </w:r>
      <w:r w:rsidR="00E464BE" w:rsidRPr="00A05C40">
        <w:rPr>
          <w:rFonts w:asciiTheme="minorHAnsi" w:hAnsiTheme="minorHAnsi" w:cstheme="minorHAnsi"/>
          <w:bCs/>
        </w:rPr>
        <w:t xml:space="preserve"> </w:t>
      </w:r>
      <w:r w:rsidR="00EC071F">
        <w:rPr>
          <w:rFonts w:asciiTheme="minorHAnsi" w:hAnsiTheme="minorHAnsi" w:cstheme="minorHAnsi"/>
          <w:bCs/>
        </w:rPr>
        <w:t xml:space="preserve">kezeli a </w:t>
      </w:r>
      <w:r w:rsidR="00F1623A" w:rsidRPr="00A05C40">
        <w:rPr>
          <w:rFonts w:asciiTheme="minorHAnsi" w:hAnsiTheme="minorHAnsi" w:cstheme="minorHAnsi"/>
          <w:bCs/>
        </w:rPr>
        <w:t>paródi</w:t>
      </w:r>
      <w:r w:rsidR="00EC071F">
        <w:rPr>
          <w:rFonts w:asciiTheme="minorHAnsi" w:hAnsiTheme="minorHAnsi" w:cstheme="minorHAnsi"/>
          <w:bCs/>
        </w:rPr>
        <w:t xml:space="preserve">át. </w:t>
      </w:r>
      <w:r w:rsidR="00E12511" w:rsidRPr="00A05C40">
        <w:rPr>
          <w:rFonts w:asciiTheme="minorHAnsi" w:hAnsiTheme="minorHAnsi" w:cstheme="minorHAnsi"/>
          <w:bCs/>
        </w:rPr>
        <w:t xml:space="preserve"> </w:t>
      </w:r>
      <w:r w:rsidR="00F1623A" w:rsidRPr="00A05C40">
        <w:rPr>
          <w:rFonts w:asciiTheme="minorHAnsi" w:hAnsiTheme="minorHAnsi" w:cstheme="minorHAnsi"/>
          <w:bCs/>
        </w:rPr>
        <w:t xml:space="preserve"> </w:t>
      </w:r>
    </w:p>
    <w:p w:rsidR="002F3B6C" w:rsidRDefault="00DD2393" w:rsidP="004C5842">
      <w:pPr>
        <w:pStyle w:val="c32dispositifmarge1"/>
        <w:jc w:val="both"/>
      </w:pPr>
      <w:r>
        <w:rPr>
          <w:rFonts w:asciiTheme="minorHAnsi" w:hAnsiTheme="minorHAnsi" w:cstheme="minorHAnsi"/>
          <w:bCs/>
        </w:rPr>
        <w:t xml:space="preserve">27. </w:t>
      </w:r>
      <w:r w:rsidR="00730B60" w:rsidRPr="00A05C40">
        <w:rPr>
          <w:rFonts w:asciiTheme="minorHAnsi" w:hAnsiTheme="minorHAnsi" w:cstheme="minorHAnsi"/>
          <w:bCs/>
        </w:rPr>
        <w:t xml:space="preserve">Az eset tárgya egy híres </w:t>
      </w:r>
      <w:r w:rsidR="00EC7602" w:rsidRPr="00A05C40">
        <w:rPr>
          <w:rFonts w:asciiTheme="minorHAnsi" w:hAnsiTheme="minorHAnsi" w:cstheme="minorHAnsi"/>
          <w:bCs/>
        </w:rPr>
        <w:t xml:space="preserve">csinos </w:t>
      </w:r>
      <w:r w:rsidR="00730B60" w:rsidRPr="00A05C40">
        <w:rPr>
          <w:rFonts w:asciiTheme="minorHAnsi" w:hAnsiTheme="minorHAnsi" w:cstheme="minorHAnsi"/>
          <w:bCs/>
        </w:rPr>
        <w:t xml:space="preserve">német színésznőről készült fotó volt, amelyet az újság – egy </w:t>
      </w:r>
      <w:r w:rsidR="00EC7602" w:rsidRPr="00A05C40">
        <w:rPr>
          <w:rFonts w:asciiTheme="minorHAnsi" w:hAnsiTheme="minorHAnsi" w:cstheme="minorHAnsi"/>
          <w:bCs/>
        </w:rPr>
        <w:t xml:space="preserve">meglehetősen </w:t>
      </w:r>
      <w:r w:rsidR="00730B60" w:rsidRPr="00A05C40">
        <w:rPr>
          <w:rFonts w:asciiTheme="minorHAnsi" w:hAnsiTheme="minorHAnsi" w:cstheme="minorHAnsi"/>
          <w:bCs/>
        </w:rPr>
        <w:t xml:space="preserve">ostoba program keretében, amelynek a lényege </w:t>
      </w:r>
      <w:r w:rsidR="00EC7602" w:rsidRPr="00A05C40">
        <w:rPr>
          <w:rFonts w:asciiTheme="minorHAnsi" w:hAnsiTheme="minorHAnsi" w:cstheme="minorHAnsi"/>
          <w:bCs/>
        </w:rPr>
        <w:t xml:space="preserve">az </w:t>
      </w:r>
      <w:r w:rsidR="00730B60" w:rsidRPr="00A05C40">
        <w:rPr>
          <w:rFonts w:asciiTheme="minorHAnsi" w:hAnsiTheme="minorHAnsi" w:cstheme="minorHAnsi"/>
          <w:bCs/>
        </w:rPr>
        <w:t>ilyen fajta humorosnak szánt torzítás</w:t>
      </w:r>
      <w:r w:rsidR="00EC7602" w:rsidRPr="00A05C40">
        <w:rPr>
          <w:rFonts w:asciiTheme="minorHAnsi" w:hAnsiTheme="minorHAnsi" w:cstheme="minorHAnsi"/>
          <w:bCs/>
        </w:rPr>
        <w:t>ok</w:t>
      </w:r>
      <w:r w:rsidR="00730B60" w:rsidRPr="00A05C40">
        <w:rPr>
          <w:rFonts w:asciiTheme="minorHAnsi" w:hAnsiTheme="minorHAnsi" w:cstheme="minorHAnsi"/>
          <w:bCs/>
        </w:rPr>
        <w:t xml:space="preserve"> volt</w:t>
      </w:r>
      <w:r w:rsidR="00EC7602" w:rsidRPr="00A05C40">
        <w:rPr>
          <w:rFonts w:asciiTheme="minorHAnsi" w:hAnsiTheme="minorHAnsi" w:cstheme="minorHAnsi"/>
          <w:bCs/>
        </w:rPr>
        <w:t>ak</w:t>
      </w:r>
      <w:r w:rsidR="00730B60" w:rsidRPr="00A05C40">
        <w:rPr>
          <w:rFonts w:asciiTheme="minorHAnsi" w:hAnsiTheme="minorHAnsi" w:cstheme="minorHAnsi"/>
          <w:bCs/>
        </w:rPr>
        <w:t xml:space="preserve"> – </w:t>
      </w:r>
      <w:proofErr w:type="spellStart"/>
      <w:r w:rsidR="00730B60" w:rsidRPr="00A05C40">
        <w:rPr>
          <w:rFonts w:asciiTheme="minorHAnsi" w:hAnsiTheme="minorHAnsi" w:cstheme="minorHAnsi"/>
          <w:bCs/>
        </w:rPr>
        <w:t>Photoshop</w:t>
      </w:r>
      <w:proofErr w:type="spellEnd"/>
      <w:r w:rsidR="00730B60" w:rsidRPr="00A05C40">
        <w:rPr>
          <w:rFonts w:asciiTheme="minorHAnsi" w:hAnsiTheme="minorHAnsi" w:cstheme="minorHAnsi"/>
          <w:bCs/>
        </w:rPr>
        <w:t xml:space="preserve"> vagy hasonló technikával formátlanul </w:t>
      </w:r>
      <w:r w:rsidR="00D01202" w:rsidRPr="00A05C40">
        <w:rPr>
          <w:rFonts w:asciiTheme="minorHAnsi" w:hAnsiTheme="minorHAnsi" w:cstheme="minorHAnsi"/>
          <w:bCs/>
        </w:rPr>
        <w:t>elhízott nő</w:t>
      </w:r>
      <w:r w:rsidR="00EC7602" w:rsidRPr="00A05C40">
        <w:rPr>
          <w:rFonts w:asciiTheme="minorHAnsi" w:hAnsiTheme="minorHAnsi" w:cstheme="minorHAnsi"/>
          <w:bCs/>
        </w:rPr>
        <w:t>t ábrázolóként t</w:t>
      </w:r>
      <w:r w:rsidR="00D01202" w:rsidRPr="00A05C40">
        <w:rPr>
          <w:rFonts w:asciiTheme="minorHAnsi" w:hAnsiTheme="minorHAnsi" w:cstheme="minorHAnsi"/>
          <w:bCs/>
        </w:rPr>
        <w:t>ett</w:t>
      </w:r>
      <w:r w:rsidR="00EC7602" w:rsidRPr="00A05C40">
        <w:rPr>
          <w:rFonts w:asciiTheme="minorHAnsi" w:hAnsiTheme="minorHAnsi" w:cstheme="minorHAnsi"/>
          <w:bCs/>
        </w:rPr>
        <w:t>e</w:t>
      </w:r>
      <w:r w:rsidR="00D01202" w:rsidRPr="00A05C40">
        <w:rPr>
          <w:rFonts w:asciiTheme="minorHAnsi" w:hAnsiTheme="minorHAnsi" w:cstheme="minorHAnsi"/>
          <w:bCs/>
        </w:rPr>
        <w:t xml:space="preserve"> közzé</w:t>
      </w:r>
      <w:r w:rsidR="00EC7602" w:rsidRPr="00A05C40">
        <w:rPr>
          <w:rFonts w:asciiTheme="minorHAnsi" w:hAnsiTheme="minorHAnsi" w:cstheme="minorHAnsi"/>
          <w:bCs/>
        </w:rPr>
        <w:t xml:space="preserve"> a fénykép eltorzított változatát</w:t>
      </w:r>
      <w:r w:rsidR="00D01202" w:rsidRPr="00A05C40">
        <w:rPr>
          <w:rFonts w:asciiTheme="minorHAnsi" w:hAnsiTheme="minorHAnsi" w:cstheme="minorHAnsi"/>
          <w:bCs/>
        </w:rPr>
        <w:t xml:space="preserve">. A BGH az ebben rejlő, </w:t>
      </w:r>
      <w:r w:rsidR="002F3B6C" w:rsidRPr="00A05C40">
        <w:rPr>
          <w:rFonts w:asciiTheme="minorHAnsi" w:hAnsiTheme="minorHAnsi" w:cstheme="minorHAnsi"/>
          <w:bCs/>
        </w:rPr>
        <w:t xml:space="preserve">a </w:t>
      </w:r>
      <w:r w:rsidR="00D01202" w:rsidRPr="00A05C40">
        <w:rPr>
          <w:rFonts w:asciiTheme="minorHAnsi" w:hAnsiTheme="minorHAnsi" w:cstheme="minorHAnsi"/>
          <w:bCs/>
        </w:rPr>
        <w:t xml:space="preserve">szellentés-ropogtatásnál alig gusztusosabb </w:t>
      </w:r>
      <w:r w:rsidR="00EC071F">
        <w:rPr>
          <w:rFonts w:asciiTheme="minorHAnsi" w:hAnsiTheme="minorHAnsi" w:cstheme="minorHAnsi"/>
          <w:bCs/>
        </w:rPr>
        <w:t xml:space="preserve">élcet </w:t>
      </w:r>
      <w:r w:rsidR="00D01202" w:rsidRPr="00A05C40">
        <w:rPr>
          <w:rFonts w:asciiTheme="minorHAnsi" w:hAnsiTheme="minorHAnsi" w:cstheme="minorHAnsi"/>
          <w:bCs/>
        </w:rPr>
        <w:t xml:space="preserve">is humornak kezelve, megállapította, hogy paródiáról van szó, s </w:t>
      </w:r>
      <w:r w:rsidR="00EC7602" w:rsidRPr="00A05C40">
        <w:rPr>
          <w:rFonts w:asciiTheme="minorHAnsi" w:hAnsiTheme="minorHAnsi" w:cstheme="minorHAnsi"/>
          <w:bCs/>
        </w:rPr>
        <w:t xml:space="preserve">ezért, </w:t>
      </w:r>
      <w:r w:rsidR="00D01202" w:rsidRPr="00A05C40">
        <w:rPr>
          <w:rFonts w:asciiTheme="minorHAnsi" w:hAnsiTheme="minorHAnsi" w:cstheme="minorHAnsi"/>
          <w:bCs/>
        </w:rPr>
        <w:t>mint ilyet a</w:t>
      </w:r>
      <w:r w:rsidR="00055100">
        <w:rPr>
          <w:rFonts w:asciiTheme="minorHAnsi" w:hAnsiTheme="minorHAnsi" w:cstheme="minorHAnsi"/>
          <w:bCs/>
        </w:rPr>
        <w:t>z érintett</w:t>
      </w:r>
      <w:r w:rsidR="00EC071F">
        <w:rPr>
          <w:rFonts w:asciiTheme="minorHAnsi" w:hAnsiTheme="minorHAnsi" w:cstheme="minorHAnsi"/>
          <w:bCs/>
        </w:rPr>
        <w:t xml:space="preserve"> </w:t>
      </w:r>
      <w:r w:rsidR="00D01202" w:rsidRPr="00A05C40">
        <w:rPr>
          <w:rFonts w:asciiTheme="minorHAnsi" w:hAnsiTheme="minorHAnsi" w:cstheme="minorHAnsi"/>
          <w:bCs/>
        </w:rPr>
        <w:t>újság a német szerzői jogi törvény</w:t>
      </w:r>
      <w:r w:rsidR="00EC071F">
        <w:rPr>
          <w:rFonts w:asciiTheme="minorHAnsi" w:hAnsiTheme="minorHAnsi" w:cstheme="minorHAnsi"/>
          <w:bCs/>
        </w:rPr>
        <w:t xml:space="preserve"> szerinti </w:t>
      </w:r>
      <w:r w:rsidR="00A05C40" w:rsidRPr="00A05C40">
        <w:rPr>
          <w:rFonts w:asciiTheme="minorHAnsi" w:hAnsiTheme="minorHAnsi" w:cstheme="minorHAnsi"/>
          <w:bCs/>
        </w:rPr>
        <w:t>„</w:t>
      </w:r>
      <w:r w:rsidR="00D01202" w:rsidRPr="00A05C40">
        <w:rPr>
          <w:rFonts w:asciiTheme="minorHAnsi" w:hAnsiTheme="minorHAnsi" w:cstheme="minorHAnsi"/>
          <w:bCs/>
        </w:rPr>
        <w:t>szabad felhasználás</w:t>
      </w:r>
      <w:r w:rsidR="00055100">
        <w:rPr>
          <w:rFonts w:asciiTheme="minorHAnsi" w:hAnsiTheme="minorHAnsi" w:cstheme="minorHAnsi"/>
          <w:bCs/>
        </w:rPr>
        <w:t>ként</w:t>
      </w:r>
      <w:r w:rsidR="00A05C40" w:rsidRPr="00A05C40">
        <w:rPr>
          <w:rFonts w:asciiTheme="minorHAnsi" w:hAnsiTheme="minorHAnsi" w:cstheme="minorHAnsi"/>
          <w:bCs/>
        </w:rPr>
        <w:t>”</w:t>
      </w:r>
      <w:r w:rsidR="00D01202" w:rsidRPr="00A05C40">
        <w:rPr>
          <w:rFonts w:asciiTheme="minorHAnsi" w:hAnsiTheme="minorHAnsi" w:cstheme="minorHAnsi"/>
          <w:bCs/>
        </w:rPr>
        <w:t xml:space="preserve"> </w:t>
      </w:r>
      <w:r w:rsidR="00D01202" w:rsidRPr="00A05C40">
        <w:rPr>
          <w:rFonts w:asciiTheme="minorHAnsi" w:hAnsiTheme="minorHAnsi" w:cstheme="minorHAnsi"/>
        </w:rPr>
        <w:t>(“</w:t>
      </w:r>
      <w:proofErr w:type="spellStart"/>
      <w:r w:rsidR="00D01202" w:rsidRPr="00A05C40">
        <w:rPr>
          <w:rFonts w:asciiTheme="minorHAnsi" w:hAnsiTheme="minorHAnsi" w:cstheme="minorHAnsi"/>
        </w:rPr>
        <w:t>freie</w:t>
      </w:r>
      <w:proofErr w:type="spellEnd"/>
      <w:r w:rsidR="00D01202" w:rsidRPr="00A05C40">
        <w:rPr>
          <w:rFonts w:asciiTheme="minorHAnsi" w:hAnsiTheme="minorHAnsi" w:cstheme="minorHAnsi"/>
        </w:rPr>
        <w:t xml:space="preserve"> </w:t>
      </w:r>
      <w:proofErr w:type="spellStart"/>
      <w:r w:rsidR="00D01202" w:rsidRPr="00A05C40">
        <w:rPr>
          <w:rFonts w:asciiTheme="minorHAnsi" w:hAnsiTheme="minorHAnsi" w:cstheme="minorHAnsi"/>
        </w:rPr>
        <w:t>Benutzung</w:t>
      </w:r>
      <w:proofErr w:type="spellEnd"/>
      <w:r w:rsidR="00D01202" w:rsidRPr="00A05C40">
        <w:rPr>
          <w:rFonts w:asciiTheme="minorHAnsi" w:hAnsiTheme="minorHAnsi" w:cstheme="minorHAnsi"/>
        </w:rPr>
        <w:t xml:space="preserve">”) jogosan használta fel. </w:t>
      </w:r>
      <w:r w:rsidR="002F3B6C" w:rsidRPr="00A05C40">
        <w:rPr>
          <w:rFonts w:asciiTheme="minorHAnsi" w:hAnsiTheme="minorHAnsi" w:cstheme="minorHAnsi"/>
        </w:rPr>
        <w:t xml:space="preserve">Nem is </w:t>
      </w:r>
      <w:r w:rsidR="00A05C40" w:rsidRPr="00A05C40">
        <w:rPr>
          <w:rFonts w:asciiTheme="minorHAnsi" w:hAnsiTheme="minorHAnsi" w:cstheme="minorHAnsi"/>
        </w:rPr>
        <w:t xml:space="preserve">maga az esetnek ez a </w:t>
      </w:r>
      <w:r w:rsidR="00EC071F">
        <w:rPr>
          <w:rFonts w:asciiTheme="minorHAnsi" w:hAnsiTheme="minorHAnsi" w:cstheme="minorHAnsi"/>
        </w:rPr>
        <w:t xml:space="preserve">gusztustalan </w:t>
      </w:r>
      <w:r w:rsidR="00A05C40" w:rsidRPr="00A05C40">
        <w:rPr>
          <w:rFonts w:asciiTheme="minorHAnsi" w:hAnsiTheme="minorHAnsi" w:cstheme="minorHAnsi"/>
        </w:rPr>
        <w:t>vonatkozás</w:t>
      </w:r>
      <w:r w:rsidR="00EC071F">
        <w:rPr>
          <w:rFonts w:asciiTheme="minorHAnsi" w:hAnsiTheme="minorHAnsi" w:cstheme="minorHAnsi"/>
        </w:rPr>
        <w:t>a</w:t>
      </w:r>
      <w:r w:rsidR="00A05C40" w:rsidRPr="00A05C40">
        <w:rPr>
          <w:rFonts w:asciiTheme="minorHAnsi" w:hAnsiTheme="minorHAnsi" w:cstheme="minorHAnsi"/>
        </w:rPr>
        <w:t xml:space="preserve"> </w:t>
      </w:r>
      <w:r w:rsidR="002F3B6C" w:rsidRPr="00A05C40">
        <w:rPr>
          <w:rFonts w:asciiTheme="minorHAnsi" w:hAnsiTheme="minorHAnsi" w:cstheme="minorHAnsi"/>
        </w:rPr>
        <w:t>érdekes, hanem az, hogy a</w:t>
      </w:r>
      <w:r w:rsidR="00EC071F">
        <w:rPr>
          <w:rFonts w:asciiTheme="minorHAnsi" w:hAnsiTheme="minorHAnsi" w:cstheme="minorHAnsi"/>
        </w:rPr>
        <w:t xml:space="preserve"> „szabad felhasználásra” vonatkozó</w:t>
      </w:r>
      <w:r w:rsidR="002F3B6C" w:rsidRPr="00A05C40">
        <w:rPr>
          <w:rFonts w:asciiTheme="minorHAnsi" w:hAnsiTheme="minorHAnsi" w:cstheme="minorHAnsi"/>
        </w:rPr>
        <w:t xml:space="preserve"> rendelkezésnek a paródia</w:t>
      </w:r>
      <w:r w:rsidR="002F3B6C">
        <w:t xml:space="preserve"> </w:t>
      </w:r>
      <w:r w:rsidR="002F3B6C" w:rsidRPr="00A05C40">
        <w:rPr>
          <w:rFonts w:asciiTheme="minorHAnsi" w:hAnsiTheme="minorHAnsi" w:cstheme="minorHAnsi"/>
        </w:rPr>
        <w:t xml:space="preserve">szempontjából való értelmezését milyen alapvető módon változtatta meg a BGH a </w:t>
      </w:r>
      <w:proofErr w:type="spellStart"/>
      <w:r w:rsidR="002F3B6C" w:rsidRPr="00A05C40">
        <w:rPr>
          <w:rFonts w:asciiTheme="minorHAnsi" w:hAnsiTheme="minorHAnsi" w:cstheme="minorHAnsi"/>
          <w:i/>
        </w:rPr>
        <w:t>Deckmyn</w:t>
      </w:r>
      <w:proofErr w:type="spellEnd"/>
      <w:r w:rsidR="002F3B6C" w:rsidRPr="00A05C40">
        <w:rPr>
          <w:rFonts w:asciiTheme="minorHAnsi" w:hAnsiTheme="minorHAnsi" w:cstheme="minorHAnsi"/>
          <w:i/>
        </w:rPr>
        <w:t xml:space="preserve"> </w:t>
      </w:r>
      <w:r w:rsidR="002F3B6C" w:rsidRPr="00A05C40">
        <w:rPr>
          <w:rFonts w:asciiTheme="minorHAnsi" w:hAnsiTheme="minorHAnsi" w:cstheme="minorHAnsi"/>
        </w:rPr>
        <w:t>ítélet alkalmazásaként.</w:t>
      </w:r>
      <w:r w:rsidR="002F3B6C">
        <w:t xml:space="preserve"> </w:t>
      </w:r>
    </w:p>
    <w:p w:rsidR="00EC071F" w:rsidRPr="00497E1D" w:rsidRDefault="00DD2393" w:rsidP="00CC621D">
      <w:pPr>
        <w:pStyle w:val="c32dispositifmarg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28. </w:t>
      </w:r>
      <w:r w:rsidR="00EC071F" w:rsidRPr="00497E1D">
        <w:rPr>
          <w:rFonts w:asciiTheme="minorHAnsi" w:hAnsiTheme="minorHAnsi" w:cstheme="minorHAnsi"/>
        </w:rPr>
        <w:t>A Hamburgi Fellebbviteli Bíróság</w:t>
      </w:r>
      <w:r w:rsidR="003C5CE2" w:rsidRPr="00497E1D">
        <w:rPr>
          <w:rStyle w:val="Lbjegyzet-hivatkozs"/>
          <w:rFonts w:asciiTheme="minorHAnsi" w:hAnsiTheme="minorHAnsi" w:cstheme="minorHAnsi"/>
        </w:rPr>
        <w:footnoteReference w:id="8"/>
      </w:r>
      <w:r w:rsidR="00EC071F" w:rsidRPr="00497E1D">
        <w:rPr>
          <w:rFonts w:asciiTheme="minorHAnsi" w:hAnsiTheme="minorHAnsi" w:cstheme="minorHAnsi"/>
        </w:rPr>
        <w:t xml:space="preserve"> a </w:t>
      </w:r>
      <w:r w:rsidR="003C5CE2" w:rsidRPr="00497E1D">
        <w:rPr>
          <w:rFonts w:asciiTheme="minorHAnsi" w:hAnsiTheme="minorHAnsi" w:cstheme="minorHAnsi"/>
        </w:rPr>
        <w:t xml:space="preserve">német </w:t>
      </w:r>
      <w:r w:rsidR="00EC071F" w:rsidRPr="00497E1D">
        <w:rPr>
          <w:rFonts w:asciiTheme="minorHAnsi" w:hAnsiTheme="minorHAnsi" w:cstheme="minorHAnsi"/>
        </w:rPr>
        <w:t>szerzői jogi törvény 24</w:t>
      </w:r>
      <w:r w:rsidR="003C5CE2" w:rsidRPr="00497E1D">
        <w:rPr>
          <w:rFonts w:asciiTheme="minorHAnsi" w:hAnsiTheme="minorHAnsi" w:cstheme="minorHAnsi"/>
        </w:rPr>
        <w:t xml:space="preserve">. § </w:t>
      </w:r>
      <w:r w:rsidR="00EC071F" w:rsidRPr="00497E1D">
        <w:rPr>
          <w:rFonts w:asciiTheme="minorHAnsi" w:hAnsiTheme="minorHAnsi" w:cstheme="minorHAnsi"/>
        </w:rPr>
        <w:t xml:space="preserve">cikkének </w:t>
      </w:r>
      <w:r w:rsidR="003C5CE2" w:rsidRPr="00497E1D">
        <w:rPr>
          <w:rFonts w:asciiTheme="minorHAnsi" w:hAnsiTheme="minorHAnsi" w:cstheme="minorHAnsi"/>
        </w:rPr>
        <w:t xml:space="preserve">a </w:t>
      </w:r>
      <w:r w:rsidR="00EC071F" w:rsidRPr="00497E1D">
        <w:rPr>
          <w:rFonts w:asciiTheme="minorHAnsi" w:hAnsiTheme="minorHAnsi" w:cstheme="minorHAnsi"/>
        </w:rPr>
        <w:t>BGH addig érvényes iránymutatása szerinti ért</w:t>
      </w:r>
      <w:r w:rsidR="003C5CE2" w:rsidRPr="00497E1D">
        <w:rPr>
          <w:rFonts w:asciiTheme="minorHAnsi" w:hAnsiTheme="minorHAnsi" w:cstheme="minorHAnsi"/>
        </w:rPr>
        <w:t xml:space="preserve">elmezését alkalmazta, amely két </w:t>
      </w:r>
      <w:r w:rsidR="00FC639B" w:rsidRPr="00497E1D">
        <w:rPr>
          <w:rFonts w:asciiTheme="minorHAnsi" w:hAnsiTheme="minorHAnsi" w:cstheme="minorHAnsi"/>
        </w:rPr>
        <w:t>változatot ismert</w:t>
      </w:r>
      <w:r w:rsidR="003C5CE2" w:rsidRPr="00497E1D">
        <w:rPr>
          <w:rFonts w:asciiTheme="minorHAnsi" w:hAnsiTheme="minorHAnsi" w:cstheme="minorHAnsi"/>
        </w:rPr>
        <w:t xml:space="preserve">. Egyrészt azt, hogy </w:t>
      </w:r>
      <w:r w:rsidR="00055100">
        <w:rPr>
          <w:rFonts w:asciiTheme="minorHAnsi" w:hAnsiTheme="minorHAnsi" w:cstheme="minorHAnsi"/>
        </w:rPr>
        <w:t xml:space="preserve">a szabad felhasználás feltételeként </w:t>
      </w:r>
      <w:r w:rsidR="003C5CE2" w:rsidRPr="00497E1D">
        <w:rPr>
          <w:rFonts w:asciiTheme="minorHAnsi" w:hAnsiTheme="minorHAnsi" w:cstheme="minorHAnsi"/>
        </w:rPr>
        <w:t xml:space="preserve">az eredeti mű csak inspirációként </w:t>
      </w:r>
      <w:r w:rsidR="007845FB" w:rsidRPr="00497E1D">
        <w:rPr>
          <w:rFonts w:asciiTheme="minorHAnsi" w:hAnsiTheme="minorHAnsi" w:cstheme="minorHAnsi"/>
        </w:rPr>
        <w:t>szolgál</w:t>
      </w:r>
      <w:r w:rsidR="00FC639B" w:rsidRPr="00497E1D">
        <w:rPr>
          <w:rFonts w:asciiTheme="minorHAnsi" w:hAnsiTheme="minorHAnsi" w:cstheme="minorHAnsi"/>
        </w:rPr>
        <w:t>jon úgy</w:t>
      </w:r>
      <w:r w:rsidR="00055100">
        <w:rPr>
          <w:rFonts w:asciiTheme="minorHAnsi" w:hAnsiTheme="minorHAnsi" w:cstheme="minorHAnsi"/>
        </w:rPr>
        <w:t>,</w:t>
      </w:r>
      <w:r w:rsidR="00FC639B" w:rsidRPr="00497E1D">
        <w:rPr>
          <w:rFonts w:asciiTheme="minorHAnsi" w:hAnsiTheme="minorHAnsi" w:cstheme="minorHAnsi"/>
        </w:rPr>
        <w:t xml:space="preserve"> hogy az új műben </w:t>
      </w:r>
      <w:r w:rsidR="008738A5">
        <w:rPr>
          <w:rFonts w:asciiTheme="minorHAnsi" w:hAnsiTheme="minorHAnsi" w:cstheme="minorHAnsi"/>
        </w:rPr>
        <w:t xml:space="preserve">elhalványuljon, </w:t>
      </w:r>
      <w:r w:rsidR="00FC639B" w:rsidRPr="00497E1D">
        <w:rPr>
          <w:rFonts w:asciiTheme="minorHAnsi" w:hAnsiTheme="minorHAnsi" w:cstheme="minorHAnsi"/>
        </w:rPr>
        <w:t>elenyésszen</w:t>
      </w:r>
      <w:r w:rsidR="00055100">
        <w:rPr>
          <w:rFonts w:asciiTheme="minorHAnsi" w:hAnsiTheme="minorHAnsi" w:cstheme="minorHAnsi"/>
        </w:rPr>
        <w:t xml:space="preserve"> a jelenléte</w:t>
      </w:r>
      <w:r w:rsidR="008738A5">
        <w:rPr>
          <w:rFonts w:asciiTheme="minorHAnsi" w:hAnsiTheme="minorHAnsi" w:cstheme="minorHAnsi"/>
        </w:rPr>
        <w:t xml:space="preserve"> – </w:t>
      </w:r>
      <w:r w:rsidR="00FC639B" w:rsidRPr="00497E1D">
        <w:rPr>
          <w:rFonts w:asciiTheme="minorHAnsi" w:hAnsiTheme="minorHAnsi" w:cstheme="minorHAnsi"/>
        </w:rPr>
        <w:t>ami azonban az adott helyzetben nem állt; a színésznő ugyanolyan pózban és öltözetben szerepelt a fotón, csak eltorzítva, kövérebben. Másrészt azt a változatot, amely szerint az eredeti mű felismerhető</w:t>
      </w:r>
      <w:r w:rsidR="008738A5">
        <w:rPr>
          <w:rFonts w:asciiTheme="minorHAnsi" w:hAnsiTheme="minorHAnsi" w:cstheme="minorHAnsi"/>
        </w:rPr>
        <w:t>sége megmaradjon,</w:t>
      </w:r>
      <w:r w:rsidR="00FC639B" w:rsidRPr="00497E1D">
        <w:rPr>
          <w:rFonts w:asciiTheme="minorHAnsi" w:hAnsiTheme="minorHAnsi" w:cstheme="minorHAnsi"/>
        </w:rPr>
        <w:t xml:space="preserve"> de a szabad felhasználásként alkotott műnek</w:t>
      </w:r>
      <w:r w:rsidR="004B7166" w:rsidRPr="00497E1D">
        <w:rPr>
          <w:rFonts w:asciiTheme="minorHAnsi" w:hAnsiTheme="minorHAnsi" w:cstheme="minorHAnsi"/>
        </w:rPr>
        <w:t xml:space="preserve"> (amely</w:t>
      </w:r>
      <w:r w:rsidR="008738A5">
        <w:rPr>
          <w:rFonts w:asciiTheme="minorHAnsi" w:hAnsiTheme="minorHAnsi" w:cstheme="minorHAnsi"/>
        </w:rPr>
        <w:t>nek</w:t>
      </w:r>
      <w:r w:rsidR="004B7166" w:rsidRPr="00497E1D">
        <w:rPr>
          <w:rFonts w:asciiTheme="minorHAnsi" w:hAnsiTheme="minorHAnsi" w:cstheme="minorHAnsi"/>
        </w:rPr>
        <w:t xml:space="preserve"> tehát védelemre érdemes műnek kell minősülnie)</w:t>
      </w:r>
      <w:r w:rsidR="00FC639B" w:rsidRPr="00497E1D">
        <w:rPr>
          <w:rFonts w:asciiTheme="minorHAnsi" w:hAnsiTheme="minorHAnsi" w:cstheme="minorHAnsi"/>
        </w:rPr>
        <w:t xml:space="preserve"> elegendő „belső távolság</w:t>
      </w:r>
      <w:r w:rsidR="004B7166" w:rsidRPr="00497E1D">
        <w:rPr>
          <w:rFonts w:asciiTheme="minorHAnsi" w:hAnsiTheme="minorHAnsi" w:cstheme="minorHAnsi"/>
        </w:rPr>
        <w:t>ra” („</w:t>
      </w:r>
      <w:proofErr w:type="spellStart"/>
      <w:r w:rsidR="004B7166" w:rsidRPr="00497E1D">
        <w:rPr>
          <w:rFonts w:asciiTheme="minorHAnsi" w:hAnsiTheme="minorHAnsi" w:cstheme="minorHAnsi"/>
        </w:rPr>
        <w:t>innerer</w:t>
      </w:r>
      <w:proofErr w:type="spellEnd"/>
      <w:r w:rsidR="004B7166" w:rsidRPr="00497E1D">
        <w:rPr>
          <w:rFonts w:asciiTheme="minorHAnsi" w:hAnsiTheme="minorHAnsi" w:cstheme="minorHAnsi"/>
        </w:rPr>
        <w:t xml:space="preserve"> </w:t>
      </w:r>
      <w:proofErr w:type="spellStart"/>
      <w:r w:rsidR="004B7166" w:rsidRPr="00497E1D">
        <w:rPr>
          <w:rFonts w:asciiTheme="minorHAnsi" w:hAnsiTheme="minorHAnsi" w:cstheme="minorHAnsi"/>
        </w:rPr>
        <w:t>Abstand</w:t>
      </w:r>
      <w:proofErr w:type="spellEnd"/>
      <w:r w:rsidR="004B7166" w:rsidRPr="00497E1D">
        <w:rPr>
          <w:rFonts w:asciiTheme="minorHAnsi" w:hAnsiTheme="minorHAnsi" w:cstheme="minorHAnsi"/>
        </w:rPr>
        <w:t xml:space="preserve">”) kell lennie az eredeti műtől. A bírói gyakorlat szerint ilyen belső </w:t>
      </w:r>
      <w:proofErr w:type="gramStart"/>
      <w:r w:rsidR="004B7166" w:rsidRPr="00497E1D">
        <w:rPr>
          <w:rFonts w:asciiTheme="minorHAnsi" w:hAnsiTheme="minorHAnsi" w:cstheme="minorHAnsi"/>
        </w:rPr>
        <w:t>távolság  megállapítható</w:t>
      </w:r>
      <w:r w:rsidR="008738A5">
        <w:rPr>
          <w:rFonts w:asciiTheme="minorHAnsi" w:hAnsiTheme="minorHAnsi" w:cstheme="minorHAnsi"/>
        </w:rPr>
        <w:t>nak</w:t>
      </w:r>
      <w:proofErr w:type="gramEnd"/>
      <w:r w:rsidR="008738A5">
        <w:rPr>
          <w:rFonts w:asciiTheme="minorHAnsi" w:hAnsiTheme="minorHAnsi" w:cstheme="minorHAnsi"/>
        </w:rPr>
        <w:t xml:space="preserve"> bizonyulhat</w:t>
      </w:r>
      <w:r w:rsidR="004B7166" w:rsidRPr="00497E1D">
        <w:rPr>
          <w:rFonts w:asciiTheme="minorHAnsi" w:hAnsiTheme="minorHAnsi" w:cstheme="minorHAnsi"/>
        </w:rPr>
        <w:t>, amikor az új mű bizonyos antitézist fejez ki</w:t>
      </w:r>
      <w:r w:rsidR="008738A5">
        <w:rPr>
          <w:rFonts w:asciiTheme="minorHAnsi" w:hAnsiTheme="minorHAnsi" w:cstheme="minorHAnsi"/>
        </w:rPr>
        <w:t>. A</w:t>
      </w:r>
      <w:r w:rsidR="00E24508" w:rsidRPr="00497E1D">
        <w:rPr>
          <w:rFonts w:asciiTheme="minorHAnsi" w:hAnsiTheme="minorHAnsi" w:cstheme="minorHAnsi"/>
        </w:rPr>
        <w:t>z Bíróság szerint az eltorzított fotó ilyen</w:t>
      </w:r>
      <w:r w:rsidR="008738A5">
        <w:rPr>
          <w:rFonts w:asciiTheme="minorHAnsi" w:hAnsiTheme="minorHAnsi" w:cstheme="minorHAnsi"/>
        </w:rPr>
        <w:t xml:space="preserve"> paródiának és ezért szabad felhasználásnak</w:t>
      </w:r>
      <w:r w:rsidR="00E24508" w:rsidRPr="00497E1D">
        <w:rPr>
          <w:rFonts w:asciiTheme="minorHAnsi" w:hAnsiTheme="minorHAnsi" w:cstheme="minorHAnsi"/>
        </w:rPr>
        <w:t xml:space="preserve"> minősült.</w:t>
      </w:r>
      <w:r w:rsidR="004B7166" w:rsidRPr="00497E1D">
        <w:rPr>
          <w:rFonts w:asciiTheme="minorHAnsi" w:hAnsiTheme="minorHAnsi" w:cstheme="minorHAnsi"/>
        </w:rPr>
        <w:t xml:space="preserve">     </w:t>
      </w:r>
      <w:r w:rsidR="00FC639B" w:rsidRPr="00497E1D">
        <w:rPr>
          <w:rFonts w:asciiTheme="minorHAnsi" w:hAnsiTheme="minorHAnsi" w:cstheme="minorHAnsi"/>
        </w:rPr>
        <w:t xml:space="preserve">   </w:t>
      </w:r>
    </w:p>
    <w:p w:rsidR="00291364" w:rsidRPr="00497E1D" w:rsidRDefault="00DD2393" w:rsidP="00291364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29. </w:t>
      </w:r>
      <w:r w:rsidR="00CC621D" w:rsidRPr="00497E1D">
        <w:rPr>
          <w:rFonts w:asciiTheme="minorHAnsi" w:hAnsiTheme="minorHAnsi" w:cstheme="minorHAnsi"/>
        </w:rPr>
        <w:t xml:space="preserve">A BGH is úgy találta, hogy az adott ügyben a paródia megfelel a szabad felhasználás feltételeinek, de a </w:t>
      </w:r>
      <w:proofErr w:type="spellStart"/>
      <w:r w:rsidR="00CC621D" w:rsidRPr="00497E1D">
        <w:rPr>
          <w:rFonts w:asciiTheme="minorHAnsi" w:hAnsiTheme="minorHAnsi" w:cstheme="minorHAnsi"/>
          <w:i/>
        </w:rPr>
        <w:t>Deckmyn</w:t>
      </w:r>
      <w:proofErr w:type="spellEnd"/>
      <w:r w:rsidR="00CC621D" w:rsidRPr="00497E1D">
        <w:rPr>
          <w:rFonts w:asciiTheme="minorHAnsi" w:hAnsiTheme="minorHAnsi" w:cstheme="minorHAnsi"/>
        </w:rPr>
        <w:t xml:space="preserve"> ítélethez igazította a</w:t>
      </w:r>
      <w:r w:rsidR="00291364" w:rsidRPr="00497E1D">
        <w:rPr>
          <w:rFonts w:asciiTheme="minorHAnsi" w:hAnsiTheme="minorHAnsi" w:cstheme="minorHAnsi"/>
        </w:rPr>
        <w:t>z ilyen esetben alkalmazandó ismérveket, és azokat alkalmazta. Úgy találta, hogy az eltorzított fotó megfelelt annak a feltételnek, hogy gúnyt fejezzen ki; fotó eltorzítás</w:t>
      </w:r>
      <w:r w:rsidR="008738A5">
        <w:rPr>
          <w:rFonts w:asciiTheme="minorHAnsi" w:hAnsiTheme="minorHAnsi" w:cstheme="minorHAnsi"/>
        </w:rPr>
        <w:t xml:space="preserve">a a BGH szerint </w:t>
      </w:r>
      <w:r w:rsidR="00291364" w:rsidRPr="00497E1D">
        <w:rPr>
          <w:rFonts w:asciiTheme="minorHAnsi" w:hAnsiTheme="minorHAnsi" w:cstheme="minorHAnsi"/>
        </w:rPr>
        <w:t>a szépség mítoszával szembeni gúny</w:t>
      </w:r>
      <w:r w:rsidR="008738A5">
        <w:rPr>
          <w:rFonts w:asciiTheme="minorHAnsi" w:hAnsiTheme="minorHAnsi" w:cstheme="minorHAnsi"/>
        </w:rPr>
        <w:t xml:space="preserve"> kifejezésére szolgált</w:t>
      </w:r>
      <w:r w:rsidR="00291364" w:rsidRPr="00497E1D">
        <w:rPr>
          <w:rFonts w:asciiTheme="minorHAnsi" w:hAnsiTheme="minorHAnsi" w:cstheme="minorHAnsi"/>
        </w:rPr>
        <w:t xml:space="preserve">. Ugyanakkor, a </w:t>
      </w:r>
      <w:proofErr w:type="spellStart"/>
      <w:r w:rsidR="00291364" w:rsidRPr="00497E1D">
        <w:rPr>
          <w:rFonts w:asciiTheme="minorHAnsi" w:hAnsiTheme="minorHAnsi" w:cstheme="minorHAnsi"/>
          <w:i/>
        </w:rPr>
        <w:t>Deckmyn</w:t>
      </w:r>
      <w:proofErr w:type="spellEnd"/>
      <w:r w:rsidR="00291364" w:rsidRPr="00497E1D">
        <w:rPr>
          <w:rFonts w:asciiTheme="minorHAnsi" w:hAnsiTheme="minorHAnsi" w:cstheme="minorHAnsi"/>
        </w:rPr>
        <w:t xml:space="preserve"> ítélet alapján elvetette </w:t>
      </w:r>
      <w:r w:rsidR="008738A5">
        <w:rPr>
          <w:rFonts w:asciiTheme="minorHAnsi" w:hAnsiTheme="minorHAnsi" w:cstheme="minorHAnsi"/>
        </w:rPr>
        <w:t xml:space="preserve">a BGH azt </w:t>
      </w:r>
      <w:r w:rsidR="00291364" w:rsidRPr="00497E1D">
        <w:rPr>
          <w:rFonts w:asciiTheme="minorHAnsi" w:hAnsiTheme="minorHAnsi" w:cstheme="minorHAnsi"/>
        </w:rPr>
        <w:t xml:space="preserve">a korábbi iránymutatása szerint ismérvet, amely szerint a paródiának valamilyen, az eredeti művel szembeni „antitézist” </w:t>
      </w:r>
      <w:r w:rsidR="00323E2F" w:rsidRPr="00497E1D">
        <w:rPr>
          <w:rFonts w:asciiTheme="minorHAnsi" w:hAnsiTheme="minorHAnsi" w:cstheme="minorHAnsi"/>
        </w:rPr>
        <w:t>kellett kifejeznie (ami csak a „</w:t>
      </w:r>
      <w:proofErr w:type="spellStart"/>
      <w:r w:rsidR="00323E2F" w:rsidRPr="00497E1D">
        <w:rPr>
          <w:rFonts w:asciiTheme="minorHAnsi" w:hAnsiTheme="minorHAnsi" w:cstheme="minorHAnsi"/>
        </w:rPr>
        <w:t>parody</w:t>
      </w:r>
      <w:proofErr w:type="spellEnd"/>
      <w:r w:rsidR="00323E2F" w:rsidRPr="00497E1D">
        <w:rPr>
          <w:rFonts w:asciiTheme="minorHAnsi" w:hAnsiTheme="minorHAnsi" w:cstheme="minorHAnsi"/>
        </w:rPr>
        <w:t xml:space="preserve"> of” kategóriájának felelt meg). Most már nemcsak az eredeti műre, de bármi másra irányulhat a humor vagy a gúny (tehát a „</w:t>
      </w:r>
      <w:proofErr w:type="spellStart"/>
      <w:r w:rsidR="00323E2F" w:rsidRPr="00497E1D">
        <w:rPr>
          <w:rFonts w:asciiTheme="minorHAnsi" w:hAnsiTheme="minorHAnsi" w:cstheme="minorHAnsi"/>
        </w:rPr>
        <w:t>parody</w:t>
      </w:r>
      <w:proofErr w:type="spellEnd"/>
      <w:r w:rsidR="00323E2F" w:rsidRPr="00497E1D">
        <w:rPr>
          <w:rFonts w:asciiTheme="minorHAnsi" w:hAnsiTheme="minorHAnsi" w:cstheme="minorHAnsi"/>
        </w:rPr>
        <w:t xml:space="preserve"> </w:t>
      </w:r>
      <w:proofErr w:type="spellStart"/>
      <w:r w:rsidR="00323E2F" w:rsidRPr="00497E1D">
        <w:rPr>
          <w:rFonts w:asciiTheme="minorHAnsi" w:hAnsiTheme="minorHAnsi" w:cstheme="minorHAnsi"/>
        </w:rPr>
        <w:t>with</w:t>
      </w:r>
      <w:proofErr w:type="spellEnd"/>
      <w:r w:rsidR="00323E2F" w:rsidRPr="00497E1D">
        <w:rPr>
          <w:rFonts w:asciiTheme="minorHAnsi" w:hAnsiTheme="minorHAnsi" w:cstheme="minorHAnsi"/>
        </w:rPr>
        <w:t>” kategóriájára is kiterjed a paródia fogalma). Az Európai Bíróság döntésével összhangban el</w:t>
      </w:r>
      <w:r w:rsidR="008738A5">
        <w:rPr>
          <w:rFonts w:asciiTheme="minorHAnsi" w:hAnsiTheme="minorHAnsi" w:cstheme="minorHAnsi"/>
        </w:rPr>
        <w:t>törölte</w:t>
      </w:r>
      <w:r w:rsidR="00323E2F" w:rsidRPr="00497E1D">
        <w:rPr>
          <w:rFonts w:asciiTheme="minorHAnsi" w:hAnsiTheme="minorHAnsi" w:cstheme="minorHAnsi"/>
        </w:rPr>
        <w:t xml:space="preserve"> a BGH azt a feltételt is, hogy a „szabad felhasználáshoz” a paródiának meg kell felelnie a szerzői jogi védelem feltételeinek.          </w:t>
      </w:r>
      <w:r w:rsidR="00291364" w:rsidRPr="00497E1D">
        <w:rPr>
          <w:rFonts w:asciiTheme="minorHAnsi" w:hAnsiTheme="minorHAnsi" w:cstheme="minorHAnsi"/>
        </w:rPr>
        <w:t xml:space="preserve">    </w:t>
      </w:r>
    </w:p>
    <w:p w:rsidR="005D42E9" w:rsidRPr="008E527C" w:rsidRDefault="00DD2393" w:rsidP="00842729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30. </w:t>
      </w:r>
      <w:r w:rsidR="00497E1D" w:rsidRPr="008E527C">
        <w:rPr>
          <w:rFonts w:asciiTheme="minorHAnsi" w:hAnsiTheme="minorHAnsi" w:cstheme="minorHAnsi"/>
        </w:rPr>
        <w:t>Bár a BGH elvetette az „antitézis” ismérvét, azt mégis relevánsnak találta abból a szempontból, hogy annak kifejezése a vélemény és a kifejezés szabadsága szempontjából jelentős</w:t>
      </w:r>
      <w:r w:rsidR="008738A5">
        <w:rPr>
          <w:rFonts w:asciiTheme="minorHAnsi" w:hAnsiTheme="minorHAnsi" w:cstheme="minorHAnsi"/>
        </w:rPr>
        <w:t xml:space="preserve"> lehet</w:t>
      </w:r>
      <w:r w:rsidR="00497E1D" w:rsidRPr="008E527C">
        <w:rPr>
          <w:rFonts w:asciiTheme="minorHAnsi" w:hAnsiTheme="minorHAnsi" w:cstheme="minorHAnsi"/>
        </w:rPr>
        <w:t>, és így a paródia megengedhetősége mellett szól</w:t>
      </w:r>
      <w:r w:rsidR="008738A5">
        <w:rPr>
          <w:rFonts w:asciiTheme="minorHAnsi" w:hAnsiTheme="minorHAnsi" w:cstheme="minorHAnsi"/>
        </w:rPr>
        <w:t>hat</w:t>
      </w:r>
      <w:r w:rsidR="00497E1D" w:rsidRPr="008E527C">
        <w:rPr>
          <w:rFonts w:asciiTheme="minorHAnsi" w:hAnsiTheme="minorHAnsi" w:cstheme="minorHAnsi"/>
        </w:rPr>
        <w:t>. Ezzel összefüggésben fenntartotta</w:t>
      </w:r>
      <w:r w:rsidR="00E00F65" w:rsidRPr="008E527C">
        <w:rPr>
          <w:rFonts w:asciiTheme="minorHAnsi" w:hAnsiTheme="minorHAnsi" w:cstheme="minorHAnsi"/>
        </w:rPr>
        <w:t xml:space="preserve">, </w:t>
      </w:r>
      <w:r w:rsidR="00F7154D" w:rsidRPr="008E527C">
        <w:rPr>
          <w:rFonts w:asciiTheme="minorHAnsi" w:hAnsiTheme="minorHAnsi" w:cstheme="minorHAnsi"/>
        </w:rPr>
        <w:t>és</w:t>
      </w:r>
      <w:r w:rsidR="00E00F65" w:rsidRPr="008E527C">
        <w:rPr>
          <w:rFonts w:asciiTheme="minorHAnsi" w:hAnsiTheme="minorHAnsi" w:cstheme="minorHAnsi"/>
        </w:rPr>
        <w:t xml:space="preserve"> az eddigieknél is nagyobb hangsúllyal alkalmazta az ügyben </w:t>
      </w:r>
      <w:r w:rsidR="00497E1D" w:rsidRPr="008E527C">
        <w:rPr>
          <w:rFonts w:asciiTheme="minorHAnsi" w:hAnsiTheme="minorHAnsi" w:cstheme="minorHAnsi"/>
        </w:rPr>
        <w:t>a „belső távolság” ismérvét</w:t>
      </w:r>
      <w:r w:rsidR="00E00F65" w:rsidRPr="008E527C">
        <w:rPr>
          <w:rFonts w:asciiTheme="minorHAnsi" w:hAnsiTheme="minorHAnsi" w:cstheme="minorHAnsi"/>
        </w:rPr>
        <w:t xml:space="preserve">. Utalva a </w:t>
      </w:r>
      <w:proofErr w:type="spellStart"/>
      <w:r w:rsidR="00E00F65" w:rsidRPr="008E527C">
        <w:rPr>
          <w:rFonts w:asciiTheme="minorHAnsi" w:hAnsiTheme="minorHAnsi" w:cstheme="minorHAnsi"/>
          <w:i/>
        </w:rPr>
        <w:t>Deckmyn</w:t>
      </w:r>
      <w:proofErr w:type="spellEnd"/>
      <w:r w:rsidR="00E00F65" w:rsidRPr="008E527C">
        <w:rPr>
          <w:rFonts w:asciiTheme="minorHAnsi" w:hAnsiTheme="minorHAnsi" w:cstheme="minorHAnsi"/>
        </w:rPr>
        <w:t xml:space="preserve"> ítéletnek arra a</w:t>
      </w:r>
      <w:r w:rsidR="0017052C" w:rsidRPr="008E527C">
        <w:rPr>
          <w:rFonts w:asciiTheme="minorHAnsi" w:hAnsiTheme="minorHAnsi" w:cstheme="minorHAnsi"/>
        </w:rPr>
        <w:t xml:space="preserve"> megállapítására, amely szerint azért nem lehet a paródia elfogadható, mert diszkriminatív üzenetet hordoz, a BGH </w:t>
      </w:r>
      <w:r w:rsidR="008738A5">
        <w:rPr>
          <w:rFonts w:asciiTheme="minorHAnsi" w:hAnsiTheme="minorHAnsi" w:cstheme="minorHAnsi"/>
        </w:rPr>
        <w:t>nem értett egyet azzal</w:t>
      </w:r>
      <w:r w:rsidR="007D30EC" w:rsidRPr="008E527C">
        <w:rPr>
          <w:rFonts w:asciiTheme="minorHAnsi" w:hAnsiTheme="minorHAnsi" w:cstheme="minorHAnsi"/>
        </w:rPr>
        <w:t>, hogy</w:t>
      </w:r>
      <w:r w:rsidR="0017052C" w:rsidRPr="008E527C">
        <w:rPr>
          <w:rFonts w:asciiTheme="minorHAnsi" w:hAnsiTheme="minorHAnsi" w:cstheme="minorHAnsi"/>
        </w:rPr>
        <w:t xml:space="preserve"> „politikai korrektség” alkalmazás</w:t>
      </w:r>
      <w:r w:rsidR="007D30EC" w:rsidRPr="008E527C">
        <w:rPr>
          <w:rFonts w:asciiTheme="minorHAnsi" w:hAnsiTheme="minorHAnsi" w:cstheme="minorHAnsi"/>
        </w:rPr>
        <w:t>a dönts</w:t>
      </w:r>
      <w:r w:rsidR="008738A5">
        <w:rPr>
          <w:rFonts w:asciiTheme="minorHAnsi" w:hAnsiTheme="minorHAnsi" w:cstheme="minorHAnsi"/>
        </w:rPr>
        <w:t xml:space="preserve">ön el egy </w:t>
      </w:r>
      <w:r w:rsidR="007D30EC" w:rsidRPr="008E527C">
        <w:rPr>
          <w:rFonts w:asciiTheme="minorHAnsi" w:hAnsiTheme="minorHAnsi" w:cstheme="minorHAnsi"/>
        </w:rPr>
        <w:t>ügyet,</w:t>
      </w:r>
      <w:r w:rsidR="0017052C" w:rsidRPr="008E527C">
        <w:rPr>
          <w:rFonts w:asciiTheme="minorHAnsi" w:hAnsiTheme="minorHAnsi" w:cstheme="minorHAnsi"/>
        </w:rPr>
        <w:t xml:space="preserve"> és a</w:t>
      </w:r>
      <w:r w:rsidR="004C66D0">
        <w:rPr>
          <w:rFonts w:asciiTheme="minorHAnsi" w:hAnsiTheme="minorHAnsi" w:cstheme="minorHAnsi"/>
        </w:rPr>
        <w:t>zzal sem</w:t>
      </w:r>
      <w:r w:rsidR="0017052C" w:rsidRPr="008E527C">
        <w:rPr>
          <w:rFonts w:asciiTheme="minorHAnsi" w:hAnsiTheme="minorHAnsi" w:cstheme="minorHAnsi"/>
        </w:rPr>
        <w:t>, hogy valamely harmadik személy érdekeinek az esetleges sérelm</w:t>
      </w:r>
      <w:r w:rsidR="007D30EC" w:rsidRPr="008E527C">
        <w:rPr>
          <w:rFonts w:asciiTheme="minorHAnsi" w:hAnsiTheme="minorHAnsi" w:cstheme="minorHAnsi"/>
        </w:rPr>
        <w:t xml:space="preserve">e </w:t>
      </w:r>
      <w:r w:rsidR="004C66D0">
        <w:rPr>
          <w:rFonts w:asciiTheme="minorHAnsi" w:hAnsiTheme="minorHAnsi" w:cstheme="minorHAnsi"/>
        </w:rPr>
        <w:t xml:space="preserve">szükségképpen </w:t>
      </w:r>
      <w:r w:rsidR="0017052C" w:rsidRPr="008E527C">
        <w:rPr>
          <w:rFonts w:asciiTheme="minorHAnsi" w:hAnsiTheme="minorHAnsi" w:cstheme="minorHAnsi"/>
        </w:rPr>
        <w:t>akadály</w:t>
      </w:r>
      <w:r w:rsidR="007D30EC" w:rsidRPr="008E527C">
        <w:rPr>
          <w:rFonts w:asciiTheme="minorHAnsi" w:hAnsiTheme="minorHAnsi" w:cstheme="minorHAnsi"/>
        </w:rPr>
        <w:t>a</w:t>
      </w:r>
      <w:r w:rsidR="0017052C" w:rsidRPr="008E527C">
        <w:rPr>
          <w:rFonts w:asciiTheme="minorHAnsi" w:hAnsiTheme="minorHAnsi" w:cstheme="minorHAnsi"/>
        </w:rPr>
        <w:t xml:space="preserve"> </w:t>
      </w:r>
      <w:r w:rsidR="004C66D0">
        <w:rPr>
          <w:rFonts w:asciiTheme="minorHAnsi" w:hAnsiTheme="minorHAnsi" w:cstheme="minorHAnsi"/>
        </w:rPr>
        <w:t>legyen egy</w:t>
      </w:r>
      <w:r w:rsidR="0017052C" w:rsidRPr="008E527C">
        <w:rPr>
          <w:rFonts w:asciiTheme="minorHAnsi" w:hAnsiTheme="minorHAnsi" w:cstheme="minorHAnsi"/>
        </w:rPr>
        <w:t xml:space="preserve"> paródia felhasznál</w:t>
      </w:r>
      <w:r w:rsidR="007D30EC" w:rsidRPr="008E527C">
        <w:rPr>
          <w:rFonts w:asciiTheme="minorHAnsi" w:hAnsiTheme="minorHAnsi" w:cstheme="minorHAnsi"/>
        </w:rPr>
        <w:t>hatóságának</w:t>
      </w:r>
      <w:r w:rsidR="0017052C" w:rsidRPr="008E527C">
        <w:rPr>
          <w:rFonts w:asciiTheme="minorHAnsi" w:hAnsiTheme="minorHAnsi" w:cstheme="minorHAnsi"/>
        </w:rPr>
        <w:t>.</w:t>
      </w:r>
      <w:r w:rsidR="007D30EC" w:rsidRPr="008E527C">
        <w:rPr>
          <w:rFonts w:asciiTheme="minorHAnsi" w:hAnsiTheme="minorHAnsi" w:cstheme="minorHAnsi"/>
        </w:rPr>
        <w:t xml:space="preserve"> </w:t>
      </w:r>
      <w:r w:rsidR="00842729" w:rsidRPr="008E527C">
        <w:rPr>
          <w:rFonts w:asciiTheme="minorHAnsi" w:hAnsiTheme="minorHAnsi" w:cstheme="minorHAnsi"/>
        </w:rPr>
        <w:t xml:space="preserve">Kimondta, nem elegendő az, hogy a paródiát ilyen negatív vonások jellemezzék, és az eredeti mű szerzőjének a paródiához való szubjektív viszonyulása sem </w:t>
      </w:r>
      <w:r w:rsidR="004C66D0">
        <w:rPr>
          <w:rFonts w:asciiTheme="minorHAnsi" w:hAnsiTheme="minorHAnsi" w:cstheme="minorHAnsi"/>
        </w:rPr>
        <w:t>döntő szempont.</w:t>
      </w:r>
      <w:r w:rsidR="00842729" w:rsidRPr="008E527C">
        <w:rPr>
          <w:rFonts w:asciiTheme="minorHAnsi" w:hAnsiTheme="minorHAnsi" w:cstheme="minorHAnsi"/>
        </w:rPr>
        <w:t xml:space="preserve"> Csak akkor sérti a paródia az eredeti mű szerzőjének a jogát, ha </w:t>
      </w:r>
      <w:r w:rsidR="004C66D0">
        <w:rPr>
          <w:rFonts w:asciiTheme="minorHAnsi" w:hAnsiTheme="minorHAnsi" w:cstheme="minorHAnsi"/>
        </w:rPr>
        <w:t xml:space="preserve">annak </w:t>
      </w:r>
      <w:r w:rsidR="00842729" w:rsidRPr="008E527C">
        <w:rPr>
          <w:rFonts w:asciiTheme="minorHAnsi" w:hAnsiTheme="minorHAnsi" w:cstheme="minorHAnsi"/>
        </w:rPr>
        <w:t>jogos érdeke fűződik ahhoz, hogy ő maga ne legyen hozzá</w:t>
      </w:r>
      <w:r w:rsidR="004C66D0">
        <w:rPr>
          <w:rFonts w:asciiTheme="minorHAnsi" w:hAnsiTheme="minorHAnsi" w:cstheme="minorHAnsi"/>
        </w:rPr>
        <w:t>társítható</w:t>
      </w:r>
      <w:r w:rsidR="00842729" w:rsidRPr="008E527C">
        <w:rPr>
          <w:rFonts w:asciiTheme="minorHAnsi" w:hAnsiTheme="minorHAnsi" w:cstheme="minorHAnsi"/>
        </w:rPr>
        <w:t xml:space="preserve"> a paródia ilyen jellegéhez.</w:t>
      </w:r>
      <w:r w:rsidR="00842729" w:rsidRPr="008E527C">
        <w:rPr>
          <w:rStyle w:val="Lbjegyzet-hivatkozs"/>
          <w:rFonts w:asciiTheme="minorHAnsi" w:hAnsiTheme="minorHAnsi" w:cstheme="minorHAnsi"/>
        </w:rPr>
        <w:footnoteReference w:id="9"/>
      </w:r>
      <w:r w:rsidR="00842729" w:rsidRPr="008E527C">
        <w:rPr>
          <w:rFonts w:asciiTheme="minorHAnsi" w:hAnsiTheme="minorHAnsi" w:cstheme="minorHAnsi"/>
        </w:rPr>
        <w:t xml:space="preserve"> Az ítélet nem mutat erre rá, de így valójában </w:t>
      </w:r>
      <w:r w:rsidR="0045264D" w:rsidRPr="008E527C">
        <w:rPr>
          <w:rFonts w:asciiTheme="minorHAnsi" w:hAnsiTheme="minorHAnsi" w:cstheme="minorHAnsi"/>
        </w:rPr>
        <w:t xml:space="preserve">úgy tekinthető, hogy az eredeti mű szerzőjének a személyhez fűződő jogáról, jó hírének a védelméről van szó. </w:t>
      </w:r>
      <w:r w:rsidR="001A6D3B" w:rsidRPr="008E527C">
        <w:rPr>
          <w:rFonts w:asciiTheme="minorHAnsi" w:hAnsiTheme="minorHAnsi" w:cstheme="minorHAnsi"/>
        </w:rPr>
        <w:t xml:space="preserve">A személyiségi jogi alap és annak megítélése, a „belső távolság” ismérvének az ilyen módon való alkalmazása, még világosabbá válik, amikor a „paródiának” minősített fotón torz kövérként ábrázolt színésznő személyiségi jogairól is szó van az ítéletben. A BGH úgy találta, a színésznő jogai sem sérültek. Ennek a megállapításnak az indokolása még inkább aláhúzza azt, hogy amennyiben a műre utaló új változat </w:t>
      </w:r>
      <w:r w:rsidR="005D42E9" w:rsidRPr="008E527C">
        <w:rPr>
          <w:rFonts w:asciiTheme="minorHAnsi" w:hAnsiTheme="minorHAnsi" w:cstheme="minorHAnsi"/>
        </w:rPr>
        <w:t>egyébként megfelel a paródia ismérveinek – ide értve, ebben az összefüggésben, a megfelelő „belső távolság” meglétét is – a paródia felhasználhatóságának nincs igazi személyhez fűződő akadálya; a kifejezés szabadságának a védelme (bármilyen gusztustalan dolog kifejezéséről van is szó) válik döntővé.</w:t>
      </w:r>
      <w:r w:rsidR="004C66D0">
        <w:rPr>
          <w:rStyle w:val="Lbjegyzet-hivatkozs"/>
          <w:rFonts w:asciiTheme="minorHAnsi" w:hAnsiTheme="minorHAnsi" w:cstheme="minorHAnsi"/>
        </w:rPr>
        <w:footnoteReference w:id="10"/>
      </w:r>
    </w:p>
    <w:p w:rsidR="00C76480" w:rsidRPr="008E527C" w:rsidRDefault="00DD2393" w:rsidP="00842729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31. </w:t>
      </w:r>
      <w:r w:rsidR="005D42E9" w:rsidRPr="008E527C">
        <w:rPr>
          <w:rFonts w:asciiTheme="minorHAnsi" w:hAnsiTheme="minorHAnsi" w:cstheme="minorHAnsi"/>
        </w:rPr>
        <w:t xml:space="preserve">Érdekes módon, </w:t>
      </w:r>
      <w:r w:rsidR="004C66D0">
        <w:rPr>
          <w:rFonts w:asciiTheme="minorHAnsi" w:hAnsiTheme="minorHAnsi" w:cstheme="minorHAnsi"/>
        </w:rPr>
        <w:t xml:space="preserve">bár </w:t>
      </w:r>
      <w:r w:rsidR="005D42E9" w:rsidRPr="008E527C">
        <w:rPr>
          <w:rFonts w:asciiTheme="minorHAnsi" w:hAnsiTheme="minorHAnsi" w:cstheme="minorHAnsi"/>
        </w:rPr>
        <w:t xml:space="preserve">más jogi struktúra alapján, úgy tűnik, a francia joggyakorlat is hasonló eredményre </w:t>
      </w:r>
      <w:r w:rsidR="007743A9" w:rsidRPr="008E527C">
        <w:rPr>
          <w:rFonts w:asciiTheme="minorHAnsi" w:hAnsiTheme="minorHAnsi" w:cstheme="minorHAnsi"/>
        </w:rPr>
        <w:t xml:space="preserve">jutott, ami némileg meglepő </w:t>
      </w:r>
      <w:r w:rsidR="004C66D0">
        <w:rPr>
          <w:rFonts w:asciiTheme="minorHAnsi" w:hAnsiTheme="minorHAnsi" w:cstheme="minorHAnsi"/>
        </w:rPr>
        <w:t xml:space="preserve">annak alapján, hogy milyen robusztus védelemben részesülnek a </w:t>
      </w:r>
      <w:r w:rsidR="007743A9" w:rsidRPr="008E527C">
        <w:rPr>
          <w:rFonts w:asciiTheme="minorHAnsi" w:hAnsiTheme="minorHAnsi" w:cstheme="minorHAnsi"/>
        </w:rPr>
        <w:t>személyhez fűződő jogok, s különösen a mű integritása védelmének a joga</w:t>
      </w:r>
      <w:r w:rsidR="004C66D0">
        <w:rPr>
          <w:rFonts w:asciiTheme="minorHAnsi" w:hAnsiTheme="minorHAnsi" w:cstheme="minorHAnsi"/>
        </w:rPr>
        <w:t xml:space="preserve"> Franciaországban. K</w:t>
      </w:r>
      <w:r w:rsidR="00116453" w:rsidRPr="008E527C">
        <w:rPr>
          <w:rFonts w:asciiTheme="minorHAnsi" w:hAnsiTheme="minorHAnsi" w:cstheme="minorHAnsi"/>
        </w:rPr>
        <w:t xml:space="preserve">orántsem </w:t>
      </w:r>
      <w:proofErr w:type="spellStart"/>
      <w:r w:rsidR="00116453" w:rsidRPr="008E527C">
        <w:rPr>
          <w:rFonts w:asciiTheme="minorHAnsi" w:hAnsiTheme="minorHAnsi" w:cstheme="minorHAnsi"/>
        </w:rPr>
        <w:t>újkeletű</w:t>
      </w:r>
      <w:proofErr w:type="spellEnd"/>
      <w:r w:rsidR="00116453" w:rsidRPr="008E527C">
        <w:rPr>
          <w:rFonts w:asciiTheme="minorHAnsi" w:hAnsiTheme="minorHAnsi" w:cstheme="minorHAnsi"/>
        </w:rPr>
        <w:t xml:space="preserve"> fejlemény</w:t>
      </w:r>
      <w:r w:rsidR="004C66D0">
        <w:rPr>
          <w:rFonts w:asciiTheme="minorHAnsi" w:hAnsiTheme="minorHAnsi" w:cstheme="minorHAnsi"/>
        </w:rPr>
        <w:t>ről van szó</w:t>
      </w:r>
      <w:r w:rsidR="00116453" w:rsidRPr="008E527C">
        <w:rPr>
          <w:rFonts w:asciiTheme="minorHAnsi" w:hAnsiTheme="minorHAnsi" w:cstheme="minorHAnsi"/>
        </w:rPr>
        <w:t>; a leggyakrabban idézett ítéletek még a 1970-es évek</w:t>
      </w:r>
      <w:r w:rsidR="004C66D0">
        <w:rPr>
          <w:rFonts w:asciiTheme="minorHAnsi" w:hAnsiTheme="minorHAnsi" w:cstheme="minorHAnsi"/>
        </w:rPr>
        <w:t xml:space="preserve"> második felében </w:t>
      </w:r>
      <w:r w:rsidR="00116453" w:rsidRPr="008E527C">
        <w:rPr>
          <w:rFonts w:asciiTheme="minorHAnsi" w:hAnsiTheme="minorHAnsi" w:cstheme="minorHAnsi"/>
        </w:rPr>
        <w:t xml:space="preserve">születtek. Mind a </w:t>
      </w:r>
      <w:proofErr w:type="spellStart"/>
      <w:r w:rsidR="00116453" w:rsidRPr="008E527C">
        <w:rPr>
          <w:rFonts w:asciiTheme="minorHAnsi" w:hAnsiTheme="minorHAnsi" w:cstheme="minorHAnsi"/>
          <w:i/>
        </w:rPr>
        <w:t>Peanuts</w:t>
      </w:r>
      <w:proofErr w:type="spellEnd"/>
      <w:r w:rsidR="00116453" w:rsidRPr="008E527C">
        <w:rPr>
          <w:rStyle w:val="Lbjegyzet-hivatkozs"/>
          <w:rFonts w:asciiTheme="minorHAnsi" w:hAnsiTheme="minorHAnsi" w:cstheme="minorHAnsi"/>
          <w:i/>
        </w:rPr>
        <w:footnoteReference w:id="11"/>
      </w:r>
      <w:r w:rsidR="00116453" w:rsidRPr="008E527C">
        <w:rPr>
          <w:rFonts w:asciiTheme="minorHAnsi" w:hAnsiTheme="minorHAnsi" w:cstheme="minorHAnsi"/>
        </w:rPr>
        <w:t xml:space="preserve">, mind a </w:t>
      </w:r>
      <w:proofErr w:type="spellStart"/>
      <w:r w:rsidR="00116453" w:rsidRPr="008E527C">
        <w:rPr>
          <w:rFonts w:asciiTheme="minorHAnsi" w:hAnsiTheme="minorHAnsi" w:cstheme="minorHAnsi"/>
          <w:i/>
        </w:rPr>
        <w:t>Tarzoon</w:t>
      </w:r>
      <w:proofErr w:type="spellEnd"/>
      <w:r w:rsidR="00116453" w:rsidRPr="008E527C">
        <w:rPr>
          <w:rStyle w:val="Lbjegyzet-hivatkozs"/>
          <w:rFonts w:asciiTheme="minorHAnsi" w:hAnsiTheme="minorHAnsi" w:cstheme="minorHAnsi"/>
          <w:i/>
        </w:rPr>
        <w:footnoteReference w:id="12"/>
      </w:r>
      <w:r w:rsidR="00116453" w:rsidRPr="008E527C">
        <w:rPr>
          <w:rFonts w:asciiTheme="minorHAnsi" w:hAnsiTheme="minorHAnsi" w:cstheme="minorHAnsi"/>
        </w:rPr>
        <w:t xml:space="preserve"> ítéletben az eredeti művek</w:t>
      </w:r>
      <w:r w:rsidR="008F1C9C" w:rsidRPr="008E527C">
        <w:rPr>
          <w:rFonts w:asciiTheme="minorHAnsi" w:hAnsiTheme="minorHAnsi" w:cstheme="minorHAnsi"/>
        </w:rPr>
        <w:t xml:space="preserve"> (a </w:t>
      </w:r>
      <w:proofErr w:type="spellStart"/>
      <w:r w:rsidR="008F1C9C" w:rsidRPr="008E527C">
        <w:rPr>
          <w:rFonts w:asciiTheme="minorHAnsi" w:hAnsiTheme="minorHAnsi" w:cstheme="minorHAnsi"/>
        </w:rPr>
        <w:t>Snoopy</w:t>
      </w:r>
      <w:proofErr w:type="spellEnd"/>
      <w:r w:rsidR="008F1C9C" w:rsidRPr="008E527C">
        <w:rPr>
          <w:rFonts w:asciiTheme="minorHAnsi" w:hAnsiTheme="minorHAnsi" w:cstheme="minorHAnsi"/>
        </w:rPr>
        <w:t xml:space="preserve"> </w:t>
      </w:r>
      <w:r w:rsidR="00C76480" w:rsidRPr="008E527C">
        <w:rPr>
          <w:rFonts w:asciiTheme="minorHAnsi" w:hAnsiTheme="minorHAnsi" w:cstheme="minorHAnsi"/>
        </w:rPr>
        <w:t>humoros rajz</w:t>
      </w:r>
      <w:r w:rsidR="008F1C9C" w:rsidRPr="008E527C">
        <w:rPr>
          <w:rFonts w:asciiTheme="minorHAnsi" w:hAnsiTheme="minorHAnsi" w:cstheme="minorHAnsi"/>
        </w:rPr>
        <w:t>figura</w:t>
      </w:r>
      <w:r w:rsidR="00C76480" w:rsidRPr="008E527C">
        <w:rPr>
          <w:rFonts w:asciiTheme="minorHAnsi" w:hAnsiTheme="minorHAnsi" w:cstheme="minorHAnsi"/>
        </w:rPr>
        <w:t>-sorozat</w:t>
      </w:r>
      <w:r w:rsidR="008F1C9C" w:rsidRPr="008E527C">
        <w:rPr>
          <w:rFonts w:asciiTheme="minorHAnsi" w:hAnsiTheme="minorHAnsi" w:cstheme="minorHAnsi"/>
        </w:rPr>
        <w:t xml:space="preserve"> és az ismert </w:t>
      </w:r>
      <w:r w:rsidR="00C76480" w:rsidRPr="008E527C">
        <w:rPr>
          <w:rFonts w:asciiTheme="minorHAnsi" w:hAnsiTheme="minorHAnsi" w:cstheme="minorHAnsi"/>
        </w:rPr>
        <w:t>Tarzan filmek</w:t>
      </w:r>
      <w:proofErr w:type="gramStart"/>
      <w:r w:rsidR="00C76480" w:rsidRPr="008E527C">
        <w:rPr>
          <w:rFonts w:asciiTheme="minorHAnsi" w:hAnsiTheme="minorHAnsi" w:cstheme="minorHAnsi"/>
        </w:rPr>
        <w:t>)</w:t>
      </w:r>
      <w:r w:rsidR="008F1C9C" w:rsidRPr="008E527C">
        <w:rPr>
          <w:rFonts w:asciiTheme="minorHAnsi" w:hAnsiTheme="minorHAnsi" w:cstheme="minorHAnsi"/>
        </w:rPr>
        <w:t xml:space="preserve">  </w:t>
      </w:r>
      <w:r w:rsidR="00116453" w:rsidRPr="008E527C">
        <w:rPr>
          <w:rFonts w:asciiTheme="minorHAnsi" w:hAnsiTheme="minorHAnsi" w:cstheme="minorHAnsi"/>
        </w:rPr>
        <w:t>–</w:t>
      </w:r>
      <w:proofErr w:type="gramEnd"/>
      <w:r w:rsidR="00116453" w:rsidRPr="008E527C">
        <w:rPr>
          <w:rFonts w:asciiTheme="minorHAnsi" w:hAnsiTheme="minorHAnsi" w:cstheme="minorHAnsi"/>
        </w:rPr>
        <w:t xml:space="preserve"> amelyeknek semmilyen ilyen jellege nem volt – </w:t>
      </w:r>
      <w:r w:rsidR="00CF51D9" w:rsidRPr="008E527C">
        <w:rPr>
          <w:rFonts w:asciiTheme="minorHAnsi" w:hAnsiTheme="minorHAnsi" w:cstheme="minorHAnsi"/>
        </w:rPr>
        <w:t>többé</w:t>
      </w:r>
      <w:r w:rsidR="004C66D0">
        <w:rPr>
          <w:rFonts w:asciiTheme="minorHAnsi" w:hAnsiTheme="minorHAnsi" w:cstheme="minorHAnsi"/>
        </w:rPr>
        <w:t>-</w:t>
      </w:r>
      <w:r w:rsidR="00CF51D9" w:rsidRPr="008E527C">
        <w:rPr>
          <w:rFonts w:asciiTheme="minorHAnsi" w:hAnsiTheme="minorHAnsi" w:cstheme="minorHAnsi"/>
        </w:rPr>
        <w:t xml:space="preserve"> kevésbé </w:t>
      </w:r>
      <w:r w:rsidR="00116453" w:rsidRPr="008E527C">
        <w:rPr>
          <w:rFonts w:asciiTheme="minorHAnsi" w:hAnsiTheme="minorHAnsi" w:cstheme="minorHAnsi"/>
        </w:rPr>
        <w:t>pornográf változattá való átalakításáról volt szó</w:t>
      </w:r>
      <w:r w:rsidR="00C76480" w:rsidRPr="008E527C">
        <w:rPr>
          <w:rFonts w:asciiTheme="minorHAnsi" w:hAnsiTheme="minorHAnsi" w:cstheme="minorHAnsi"/>
        </w:rPr>
        <w:t xml:space="preserve">. Ám </w:t>
      </w:r>
      <w:r w:rsidR="00116453" w:rsidRPr="008E527C">
        <w:rPr>
          <w:rFonts w:asciiTheme="minorHAnsi" w:hAnsiTheme="minorHAnsi" w:cstheme="minorHAnsi"/>
        </w:rPr>
        <w:t xml:space="preserve">mindkét esetben elfogadhatónak </w:t>
      </w:r>
      <w:r w:rsidR="00C76480" w:rsidRPr="008E527C">
        <w:rPr>
          <w:rFonts w:asciiTheme="minorHAnsi" w:hAnsiTheme="minorHAnsi" w:cstheme="minorHAnsi"/>
        </w:rPr>
        <w:t xml:space="preserve">ítélte </w:t>
      </w:r>
      <w:r w:rsidR="00116453" w:rsidRPr="008E527C">
        <w:rPr>
          <w:rFonts w:asciiTheme="minorHAnsi" w:hAnsiTheme="minorHAnsi" w:cstheme="minorHAnsi"/>
        </w:rPr>
        <w:t>a bíróság az eredeti mű ilyen m</w:t>
      </w:r>
      <w:r w:rsidR="00C76480" w:rsidRPr="008E527C">
        <w:rPr>
          <w:rFonts w:asciiTheme="minorHAnsi" w:hAnsiTheme="minorHAnsi" w:cstheme="minorHAnsi"/>
        </w:rPr>
        <w:t>egjelenítését, miután úgy találta, hogy az új változatok megfeleltek a paródia feltételeinek, humoros</w:t>
      </w:r>
      <w:r w:rsidR="004C66D0">
        <w:rPr>
          <w:rFonts w:asciiTheme="minorHAnsi" w:hAnsiTheme="minorHAnsi" w:cstheme="minorHAnsi"/>
        </w:rPr>
        <w:t>,</w:t>
      </w:r>
      <w:r w:rsidR="00C76480" w:rsidRPr="008E527C">
        <w:rPr>
          <w:rFonts w:asciiTheme="minorHAnsi" w:hAnsiTheme="minorHAnsi" w:cstheme="minorHAnsi"/>
        </w:rPr>
        <w:t xml:space="preserve"> illetőleg gúnyos formában</w:t>
      </w:r>
      <w:r w:rsidR="004C66D0">
        <w:rPr>
          <w:rFonts w:asciiTheme="minorHAnsi" w:hAnsiTheme="minorHAnsi" w:cstheme="minorHAnsi"/>
        </w:rPr>
        <w:t>,</w:t>
      </w:r>
      <w:r w:rsidR="00C76480" w:rsidRPr="008E527C">
        <w:rPr>
          <w:rFonts w:asciiTheme="minorHAnsi" w:hAnsiTheme="minorHAnsi" w:cstheme="minorHAnsi"/>
        </w:rPr>
        <w:t xml:space="preserve"> jórészt kritikai jelleggel utaltak az eredeti művekre; nem mentek túl a műfaj határain; nem ártó szándék volt a céljuk.  </w:t>
      </w:r>
    </w:p>
    <w:p w:rsidR="00345210" w:rsidRPr="008E527C" w:rsidRDefault="00DD2393" w:rsidP="00842729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32. </w:t>
      </w:r>
      <w:r w:rsidR="00A12B20" w:rsidRPr="008E527C">
        <w:rPr>
          <w:rFonts w:asciiTheme="minorHAnsi" w:hAnsiTheme="minorHAnsi" w:cstheme="minorHAnsi"/>
        </w:rPr>
        <w:t xml:space="preserve">A francia szellemi tulajdonvédelmi kódex </w:t>
      </w:r>
      <w:r w:rsidR="00A12B20" w:rsidRPr="008E527C">
        <w:rPr>
          <w:rStyle w:val="Lbjegyzet-hivatkozs"/>
          <w:rFonts w:asciiTheme="minorHAnsi" w:hAnsiTheme="minorHAnsi" w:cstheme="minorHAnsi"/>
        </w:rPr>
        <w:footnoteReference w:id="13"/>
      </w:r>
      <w:r w:rsidR="00116453" w:rsidRPr="008E527C">
        <w:rPr>
          <w:rFonts w:asciiTheme="minorHAnsi" w:hAnsiTheme="minorHAnsi" w:cstheme="minorHAnsi"/>
        </w:rPr>
        <w:t xml:space="preserve"> </w:t>
      </w:r>
      <w:r w:rsidR="00CF51D9" w:rsidRPr="008E527C">
        <w:rPr>
          <w:rFonts w:asciiTheme="minorHAnsi" w:hAnsiTheme="minorHAnsi" w:cstheme="minorHAnsi"/>
        </w:rPr>
        <w:t>L. 122-5 cikke rendelkezik a paródiát engedő kivételként ilyen módon: „a szerző a mű nyilvánosságra hozatala után nem tilthatja meg</w:t>
      </w:r>
      <w:proofErr w:type="gramStart"/>
      <w:r w:rsidR="00CF51D9" w:rsidRPr="008E527C">
        <w:rPr>
          <w:rFonts w:asciiTheme="minorHAnsi" w:hAnsiTheme="minorHAnsi" w:cstheme="minorHAnsi"/>
        </w:rPr>
        <w:t>:…</w:t>
      </w:r>
      <w:proofErr w:type="gramEnd"/>
      <w:r w:rsidR="00CF51D9" w:rsidRPr="008E527C">
        <w:rPr>
          <w:rFonts w:asciiTheme="minorHAnsi" w:hAnsiTheme="minorHAnsi" w:cstheme="minorHAnsi"/>
        </w:rPr>
        <w:t xml:space="preserve"> a paródiát, a </w:t>
      </w:r>
      <w:r w:rsidR="00675F94">
        <w:rPr>
          <w:rFonts w:asciiTheme="minorHAnsi" w:hAnsiTheme="minorHAnsi" w:cstheme="minorHAnsi"/>
        </w:rPr>
        <w:t xml:space="preserve">stílusutánzat </w:t>
      </w:r>
      <w:r w:rsidR="00CF51D9" w:rsidRPr="008E527C">
        <w:rPr>
          <w:rFonts w:asciiTheme="minorHAnsi" w:hAnsiTheme="minorHAnsi" w:cstheme="minorHAnsi"/>
        </w:rPr>
        <w:t xml:space="preserve">és a karikatúrát a műfaj törvényei szerint” (vagyis a műfaj jellegéből adódó körben). </w:t>
      </w:r>
      <w:r w:rsidR="008F1C9C" w:rsidRPr="008E527C">
        <w:rPr>
          <w:rFonts w:asciiTheme="minorHAnsi" w:hAnsiTheme="minorHAnsi" w:cstheme="minorHAnsi"/>
        </w:rPr>
        <w:t xml:space="preserve">Az említett ítéletekben a bíróság úgy találta, hogy amennyiben a mű változata megfelel a paródia, mint műfaj jellegének, a mű integritása védelmének joga nem lehet akadálya </w:t>
      </w:r>
      <w:r w:rsidR="00675F94">
        <w:rPr>
          <w:rFonts w:asciiTheme="minorHAnsi" w:hAnsiTheme="minorHAnsi" w:cstheme="minorHAnsi"/>
        </w:rPr>
        <w:t xml:space="preserve">a </w:t>
      </w:r>
      <w:r w:rsidR="0002037E" w:rsidRPr="008E527C">
        <w:rPr>
          <w:rFonts w:asciiTheme="minorHAnsi" w:hAnsiTheme="minorHAnsi" w:cstheme="minorHAnsi"/>
        </w:rPr>
        <w:t xml:space="preserve">paródia </w:t>
      </w:r>
      <w:r w:rsidR="008F1C9C" w:rsidRPr="008E527C">
        <w:rPr>
          <w:rFonts w:asciiTheme="minorHAnsi" w:hAnsiTheme="minorHAnsi" w:cstheme="minorHAnsi"/>
        </w:rPr>
        <w:t xml:space="preserve">az alkalmazásának. </w:t>
      </w:r>
      <w:r w:rsidR="00F9432B" w:rsidRPr="008E527C">
        <w:rPr>
          <w:rFonts w:asciiTheme="minorHAnsi" w:hAnsiTheme="minorHAnsi" w:cstheme="minorHAnsi"/>
        </w:rPr>
        <w:t xml:space="preserve">A </w:t>
      </w:r>
      <w:proofErr w:type="spellStart"/>
      <w:r w:rsidR="00F9432B" w:rsidRPr="00675F94">
        <w:rPr>
          <w:rFonts w:asciiTheme="minorHAnsi" w:hAnsiTheme="minorHAnsi" w:cstheme="minorHAnsi"/>
          <w:i/>
        </w:rPr>
        <w:t>Tarzoon</w:t>
      </w:r>
      <w:proofErr w:type="spellEnd"/>
      <w:r w:rsidR="00F9432B" w:rsidRPr="008E527C">
        <w:rPr>
          <w:rFonts w:asciiTheme="minorHAnsi" w:hAnsiTheme="minorHAnsi" w:cstheme="minorHAnsi"/>
        </w:rPr>
        <w:t xml:space="preserve"> ítélet különösen hangsúlyosan fejezi ki mindezt, miután a paródiának tekintett változatban sokkal brutálisabban torzított módon jelent meg az eredeti</w:t>
      </w:r>
      <w:r w:rsidR="00675F94">
        <w:rPr>
          <w:rFonts w:asciiTheme="minorHAnsi" w:hAnsiTheme="minorHAnsi" w:cstheme="minorHAnsi"/>
        </w:rPr>
        <w:t xml:space="preserve"> mű</w:t>
      </w:r>
      <w:r w:rsidR="00F9432B" w:rsidRPr="008E527C">
        <w:rPr>
          <w:rFonts w:asciiTheme="minorHAnsi" w:hAnsiTheme="minorHAnsi" w:cstheme="minorHAnsi"/>
        </w:rPr>
        <w:t xml:space="preserve">, mint </w:t>
      </w:r>
      <w:proofErr w:type="spellStart"/>
      <w:r w:rsidR="00F9432B" w:rsidRPr="008E527C">
        <w:rPr>
          <w:rFonts w:asciiTheme="minorHAnsi" w:hAnsiTheme="minorHAnsi" w:cstheme="minorHAnsi"/>
          <w:i/>
        </w:rPr>
        <w:t>Snoopy</w:t>
      </w:r>
      <w:proofErr w:type="spellEnd"/>
      <w:r w:rsidR="00F9432B" w:rsidRPr="008E527C">
        <w:rPr>
          <w:rFonts w:asciiTheme="minorHAnsi" w:hAnsiTheme="minorHAnsi" w:cstheme="minorHAnsi"/>
        </w:rPr>
        <w:t xml:space="preserve"> a </w:t>
      </w:r>
      <w:proofErr w:type="spellStart"/>
      <w:r w:rsidR="00F9432B" w:rsidRPr="008E527C">
        <w:rPr>
          <w:rFonts w:asciiTheme="minorHAnsi" w:hAnsiTheme="minorHAnsi" w:cstheme="minorHAnsi"/>
          <w:i/>
        </w:rPr>
        <w:t>Peanuts-</w:t>
      </w:r>
      <w:r w:rsidR="00F9432B" w:rsidRPr="008E527C">
        <w:rPr>
          <w:rFonts w:asciiTheme="minorHAnsi" w:hAnsiTheme="minorHAnsi" w:cstheme="minorHAnsi"/>
        </w:rPr>
        <w:t>ban</w:t>
      </w:r>
      <w:proofErr w:type="spellEnd"/>
      <w:r w:rsidR="00F9432B" w:rsidRPr="008E527C">
        <w:rPr>
          <w:rFonts w:asciiTheme="minorHAnsi" w:hAnsiTheme="minorHAnsi" w:cstheme="minorHAnsi"/>
        </w:rPr>
        <w:t xml:space="preserve">. Tarzan a filmekben nemes férfialakként </w:t>
      </w:r>
      <w:r w:rsidR="00675F94">
        <w:rPr>
          <w:rFonts w:asciiTheme="minorHAnsi" w:hAnsiTheme="minorHAnsi" w:cstheme="minorHAnsi"/>
        </w:rPr>
        <w:t>tűnik fel</w:t>
      </w:r>
      <w:r w:rsidR="00F9432B" w:rsidRPr="008E527C">
        <w:rPr>
          <w:rFonts w:asciiTheme="minorHAnsi" w:hAnsiTheme="minorHAnsi" w:cstheme="minorHAnsi"/>
        </w:rPr>
        <w:t xml:space="preserve">, míg </w:t>
      </w:r>
      <w:proofErr w:type="spellStart"/>
      <w:r w:rsidR="00F9432B" w:rsidRPr="008E527C">
        <w:rPr>
          <w:rFonts w:asciiTheme="minorHAnsi" w:hAnsiTheme="minorHAnsi" w:cstheme="minorHAnsi"/>
        </w:rPr>
        <w:t>Tarzoon</w:t>
      </w:r>
      <w:proofErr w:type="spellEnd"/>
      <w:r w:rsidR="00F9432B" w:rsidRPr="008E527C">
        <w:rPr>
          <w:rFonts w:asciiTheme="minorHAnsi" w:hAnsiTheme="minorHAnsi" w:cstheme="minorHAnsi"/>
        </w:rPr>
        <w:t xml:space="preserve"> a „képregény” teljes címének megfelelő alak: „</w:t>
      </w:r>
      <w:proofErr w:type="spellStart"/>
      <w:r w:rsidR="00F9432B" w:rsidRPr="008E527C">
        <w:rPr>
          <w:rFonts w:asciiTheme="minorHAnsi" w:hAnsiTheme="minorHAnsi" w:cstheme="minorHAnsi"/>
        </w:rPr>
        <w:t>Tarzoon</w:t>
      </w:r>
      <w:proofErr w:type="spellEnd"/>
      <w:r w:rsidR="00F9432B" w:rsidRPr="008E527C">
        <w:rPr>
          <w:rFonts w:asciiTheme="minorHAnsi" w:hAnsiTheme="minorHAnsi" w:cstheme="minorHAnsi"/>
        </w:rPr>
        <w:t>, a dzsungel szégyene” („</w:t>
      </w:r>
      <w:proofErr w:type="spellStart"/>
      <w:r w:rsidR="00F9432B" w:rsidRPr="008E527C">
        <w:rPr>
          <w:rFonts w:asciiTheme="minorHAnsi" w:hAnsiTheme="minorHAnsi" w:cstheme="minorHAnsi"/>
        </w:rPr>
        <w:t>Tarzoon</w:t>
      </w:r>
      <w:proofErr w:type="spellEnd"/>
      <w:r w:rsidR="00F9432B" w:rsidRPr="008E527C">
        <w:rPr>
          <w:rFonts w:asciiTheme="minorHAnsi" w:hAnsiTheme="minorHAnsi" w:cstheme="minorHAnsi"/>
        </w:rPr>
        <w:t xml:space="preserve">, la </w:t>
      </w:r>
      <w:proofErr w:type="spellStart"/>
      <w:r w:rsidR="00F9432B" w:rsidRPr="008E527C">
        <w:rPr>
          <w:rFonts w:asciiTheme="minorHAnsi" w:hAnsiTheme="minorHAnsi" w:cstheme="minorHAnsi"/>
        </w:rPr>
        <w:t>honte</w:t>
      </w:r>
      <w:proofErr w:type="spellEnd"/>
      <w:r w:rsidR="00F9432B" w:rsidRPr="008E527C">
        <w:rPr>
          <w:rFonts w:asciiTheme="minorHAnsi" w:hAnsiTheme="minorHAnsi" w:cstheme="minorHAnsi"/>
        </w:rPr>
        <w:t xml:space="preserve"> de la </w:t>
      </w:r>
      <w:proofErr w:type="spellStart"/>
      <w:r w:rsidR="00F9432B" w:rsidRPr="008E527C">
        <w:rPr>
          <w:rFonts w:asciiTheme="minorHAnsi" w:hAnsiTheme="minorHAnsi" w:cstheme="minorHAnsi"/>
        </w:rPr>
        <w:t>jungle</w:t>
      </w:r>
      <w:proofErr w:type="spellEnd"/>
      <w:r w:rsidR="00F9432B" w:rsidRPr="008E527C">
        <w:rPr>
          <w:rFonts w:asciiTheme="minorHAnsi" w:hAnsiTheme="minorHAnsi" w:cstheme="minorHAnsi"/>
        </w:rPr>
        <w:t xml:space="preserve">”). A francia bíróság két </w:t>
      </w:r>
      <w:r w:rsidR="00803E89" w:rsidRPr="008E527C">
        <w:rPr>
          <w:rFonts w:asciiTheme="minorHAnsi" w:hAnsiTheme="minorHAnsi" w:cstheme="minorHAnsi"/>
        </w:rPr>
        <w:t>dolgot hangsúlyozott</w:t>
      </w:r>
      <w:r w:rsidR="00B66424" w:rsidRPr="008E527C">
        <w:rPr>
          <w:rFonts w:asciiTheme="minorHAnsi" w:hAnsiTheme="minorHAnsi" w:cstheme="minorHAnsi"/>
        </w:rPr>
        <w:t xml:space="preserve">, </w:t>
      </w:r>
      <w:r w:rsidR="00803E89" w:rsidRPr="008E527C">
        <w:rPr>
          <w:rFonts w:asciiTheme="minorHAnsi" w:hAnsiTheme="minorHAnsi" w:cstheme="minorHAnsi"/>
        </w:rPr>
        <w:t xml:space="preserve">amikor </w:t>
      </w:r>
      <w:r w:rsidR="00F9432B" w:rsidRPr="008E527C">
        <w:rPr>
          <w:rFonts w:asciiTheme="minorHAnsi" w:hAnsiTheme="minorHAnsi" w:cstheme="minorHAnsi"/>
        </w:rPr>
        <w:t>vissza</w:t>
      </w:r>
      <w:r w:rsidR="00803E89" w:rsidRPr="008E527C">
        <w:rPr>
          <w:rFonts w:asciiTheme="minorHAnsi" w:hAnsiTheme="minorHAnsi" w:cstheme="minorHAnsi"/>
        </w:rPr>
        <w:t>utasította</w:t>
      </w:r>
      <w:r w:rsidR="00F9432B" w:rsidRPr="008E527C">
        <w:rPr>
          <w:rFonts w:asciiTheme="minorHAnsi" w:hAnsiTheme="minorHAnsi" w:cstheme="minorHAnsi"/>
        </w:rPr>
        <w:t xml:space="preserve"> a felperesek – Edgar </w:t>
      </w:r>
      <w:proofErr w:type="spellStart"/>
      <w:r w:rsidR="00F9432B" w:rsidRPr="008E527C">
        <w:rPr>
          <w:rFonts w:asciiTheme="minorHAnsi" w:hAnsiTheme="minorHAnsi" w:cstheme="minorHAnsi"/>
        </w:rPr>
        <w:t>Burrogh</w:t>
      </w:r>
      <w:proofErr w:type="spellEnd"/>
      <w:r w:rsidR="00F9432B" w:rsidRPr="008E527C">
        <w:rPr>
          <w:rFonts w:asciiTheme="minorHAnsi" w:hAnsiTheme="minorHAnsi" w:cstheme="minorHAnsi"/>
        </w:rPr>
        <w:t xml:space="preserve"> rendező örökösei –</w:t>
      </w:r>
      <w:r w:rsidR="00803E89" w:rsidRPr="008E527C">
        <w:rPr>
          <w:rFonts w:asciiTheme="minorHAnsi" w:hAnsiTheme="minorHAnsi" w:cstheme="minorHAnsi"/>
        </w:rPr>
        <w:t xml:space="preserve"> </w:t>
      </w:r>
      <w:r w:rsidR="00F9432B" w:rsidRPr="008E527C">
        <w:rPr>
          <w:rFonts w:asciiTheme="minorHAnsi" w:hAnsiTheme="minorHAnsi" w:cstheme="minorHAnsi"/>
        </w:rPr>
        <w:t>a m</w:t>
      </w:r>
      <w:r w:rsidR="00803E89" w:rsidRPr="008E527C">
        <w:rPr>
          <w:rFonts w:asciiTheme="minorHAnsi" w:hAnsiTheme="minorHAnsi" w:cstheme="minorHAnsi"/>
        </w:rPr>
        <w:t>ű integritásának a megsértése miatt</w:t>
      </w:r>
      <w:r w:rsidR="00675F94">
        <w:rPr>
          <w:rFonts w:asciiTheme="minorHAnsi" w:hAnsiTheme="minorHAnsi" w:cstheme="minorHAnsi"/>
        </w:rPr>
        <w:t>i keresetét</w:t>
      </w:r>
      <w:r w:rsidR="00B66424" w:rsidRPr="008E527C">
        <w:rPr>
          <w:rFonts w:asciiTheme="minorHAnsi" w:hAnsiTheme="minorHAnsi" w:cstheme="minorHAnsi"/>
        </w:rPr>
        <w:t xml:space="preserve"> annak alapján, hogy a paródia összhangban áll a műfaj jellegével. Egyrészt rámutatott arra, hogy </w:t>
      </w:r>
      <w:r w:rsidR="00675F94">
        <w:rPr>
          <w:rFonts w:asciiTheme="minorHAnsi" w:hAnsiTheme="minorHAnsi" w:cstheme="minorHAnsi"/>
        </w:rPr>
        <w:t xml:space="preserve">a </w:t>
      </w:r>
      <w:proofErr w:type="spellStart"/>
      <w:r w:rsidR="00B66424" w:rsidRPr="008E527C">
        <w:rPr>
          <w:rFonts w:asciiTheme="minorHAnsi" w:hAnsiTheme="minorHAnsi" w:cstheme="minorHAnsi"/>
        </w:rPr>
        <w:t>Tarzoon</w:t>
      </w:r>
      <w:proofErr w:type="spellEnd"/>
      <w:r w:rsidR="00B66424" w:rsidRPr="008E527C">
        <w:rPr>
          <w:rFonts w:asciiTheme="minorHAnsi" w:hAnsiTheme="minorHAnsi" w:cstheme="minorHAnsi"/>
        </w:rPr>
        <w:t xml:space="preserve"> változat úgy tekinthető, mint amely kritikát fogalmaz meg gúnyos, szatirikus formában a nyugati társadalmak anyagiasságával, a szafarik sznobizmusával, a környezetrombolással, a túlfogyasztással és a szex-mániával szemben. Másrészt, mintegy a német „belső távolság” ismérvéhez hasonló elv alapján azzal utasította vissza a felperesek érvelését, amely szerint </w:t>
      </w:r>
      <w:r w:rsidR="00345210" w:rsidRPr="008E527C">
        <w:rPr>
          <w:rFonts w:asciiTheme="minorHAnsi" w:hAnsiTheme="minorHAnsi" w:cstheme="minorHAnsi"/>
        </w:rPr>
        <w:t>a paródia alkalmas a Tarzan filmek integritásának és a Tarzan mítosz lerombolására, hogy semmilyen veszélye nincs az eredeti művekben szereplő Tarzan</w:t>
      </w:r>
      <w:r w:rsidR="00675F94">
        <w:rPr>
          <w:rFonts w:asciiTheme="minorHAnsi" w:hAnsiTheme="minorHAnsi" w:cstheme="minorHAnsi"/>
        </w:rPr>
        <w:t xml:space="preserve"> és</w:t>
      </w:r>
      <w:r w:rsidR="00345210" w:rsidRPr="008E527C">
        <w:rPr>
          <w:rFonts w:asciiTheme="minorHAnsi" w:hAnsiTheme="minorHAnsi" w:cstheme="minorHAnsi"/>
        </w:rPr>
        <w:t xml:space="preserve"> a paródiában megjelenő </w:t>
      </w:r>
      <w:proofErr w:type="spellStart"/>
      <w:r w:rsidR="00345210" w:rsidRPr="008E527C">
        <w:rPr>
          <w:rFonts w:asciiTheme="minorHAnsi" w:hAnsiTheme="minorHAnsi" w:cstheme="minorHAnsi"/>
        </w:rPr>
        <w:t>Tarzoon</w:t>
      </w:r>
      <w:proofErr w:type="spellEnd"/>
      <w:r w:rsidR="00345210" w:rsidRPr="008E527C">
        <w:rPr>
          <w:rFonts w:asciiTheme="minorHAnsi" w:hAnsiTheme="minorHAnsi" w:cstheme="minorHAnsi"/>
        </w:rPr>
        <w:t xml:space="preserve"> közötti konfúziónak. </w:t>
      </w:r>
    </w:p>
    <w:p w:rsidR="009B3086" w:rsidRPr="008E527C" w:rsidRDefault="00DD2393" w:rsidP="00842729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33. </w:t>
      </w:r>
      <w:r w:rsidR="00345210" w:rsidRPr="008E527C">
        <w:rPr>
          <w:rFonts w:asciiTheme="minorHAnsi" w:hAnsiTheme="minorHAnsi" w:cstheme="minorHAnsi"/>
        </w:rPr>
        <w:t xml:space="preserve">Így érdekes módon, függetlenül a francia szerzői jogi rendszer általános vonásaitól, a </w:t>
      </w:r>
      <w:proofErr w:type="spellStart"/>
      <w:r w:rsidR="00345210" w:rsidRPr="00675F94">
        <w:rPr>
          <w:rFonts w:asciiTheme="minorHAnsi" w:hAnsiTheme="minorHAnsi" w:cstheme="minorHAnsi"/>
          <w:i/>
        </w:rPr>
        <w:t>Peanuts</w:t>
      </w:r>
      <w:proofErr w:type="spellEnd"/>
      <w:r w:rsidR="00345210" w:rsidRPr="008E527C">
        <w:rPr>
          <w:rFonts w:asciiTheme="minorHAnsi" w:hAnsiTheme="minorHAnsi" w:cstheme="minorHAnsi"/>
        </w:rPr>
        <w:t xml:space="preserve"> és a </w:t>
      </w:r>
      <w:proofErr w:type="spellStart"/>
      <w:r w:rsidR="00345210" w:rsidRPr="00675F94">
        <w:rPr>
          <w:rFonts w:asciiTheme="minorHAnsi" w:hAnsiTheme="minorHAnsi" w:cstheme="minorHAnsi"/>
          <w:i/>
        </w:rPr>
        <w:t>Tarzoon</w:t>
      </w:r>
      <w:proofErr w:type="spellEnd"/>
      <w:r w:rsidR="00345210" w:rsidRPr="008E527C">
        <w:rPr>
          <w:rFonts w:asciiTheme="minorHAnsi" w:hAnsiTheme="minorHAnsi" w:cstheme="minorHAnsi"/>
        </w:rPr>
        <w:t xml:space="preserve"> ítéletek paródia-koncepciójában nagyon erős </w:t>
      </w:r>
      <w:proofErr w:type="gramStart"/>
      <w:r w:rsidR="00345210" w:rsidRPr="008E527C">
        <w:rPr>
          <w:rFonts w:asciiTheme="minorHAnsi" w:hAnsiTheme="minorHAnsi" w:cstheme="minorHAnsi"/>
        </w:rPr>
        <w:t>moni</w:t>
      </w:r>
      <w:r w:rsidR="009B3086" w:rsidRPr="008E527C">
        <w:rPr>
          <w:rFonts w:asciiTheme="minorHAnsi" w:hAnsiTheme="minorHAnsi" w:cstheme="minorHAnsi"/>
        </w:rPr>
        <w:t>sta</w:t>
      </w:r>
      <w:r w:rsidR="00345210" w:rsidRPr="008E527C">
        <w:rPr>
          <w:rFonts w:asciiTheme="minorHAnsi" w:hAnsiTheme="minorHAnsi" w:cstheme="minorHAnsi"/>
        </w:rPr>
        <w:t xml:space="preserve"> vonás</w:t>
      </w:r>
      <w:proofErr w:type="gramEnd"/>
      <w:r w:rsidR="00345210" w:rsidRPr="008E527C">
        <w:rPr>
          <w:rFonts w:asciiTheme="minorHAnsi" w:hAnsiTheme="minorHAnsi" w:cstheme="minorHAnsi"/>
        </w:rPr>
        <w:t xml:space="preserve"> jelenik meg. Nagyjából úgy foglalható össze a bírói joggyakorlat, hogy amennyiben </w:t>
      </w:r>
      <w:r w:rsidR="00675F94">
        <w:rPr>
          <w:rFonts w:asciiTheme="minorHAnsi" w:hAnsiTheme="minorHAnsi" w:cstheme="minorHAnsi"/>
        </w:rPr>
        <w:t>valamely</w:t>
      </w:r>
      <w:r w:rsidR="00345210" w:rsidRPr="008E527C">
        <w:rPr>
          <w:rFonts w:asciiTheme="minorHAnsi" w:hAnsiTheme="minorHAnsi" w:cstheme="minorHAnsi"/>
        </w:rPr>
        <w:t xml:space="preserve"> produkció megfelel a paródia, mint műfaj ismérveinek, </w:t>
      </w:r>
      <w:r w:rsidR="00675F94">
        <w:rPr>
          <w:rFonts w:asciiTheme="minorHAnsi" w:hAnsiTheme="minorHAnsi" w:cstheme="minorHAnsi"/>
        </w:rPr>
        <w:t>általában nem lehet szó</w:t>
      </w:r>
      <w:r w:rsidR="00345210" w:rsidRPr="008E527C">
        <w:rPr>
          <w:rFonts w:asciiTheme="minorHAnsi" w:hAnsiTheme="minorHAnsi" w:cstheme="minorHAnsi"/>
        </w:rPr>
        <w:t xml:space="preserve"> az eredeti mű integritásának a megsértéséről. Viszont, ha </w:t>
      </w:r>
      <w:r w:rsidR="009B3086" w:rsidRPr="008E527C">
        <w:rPr>
          <w:rFonts w:asciiTheme="minorHAnsi" w:hAnsiTheme="minorHAnsi" w:cstheme="minorHAnsi"/>
        </w:rPr>
        <w:t>a produkció túlmegy a műfaj által indokolt kereteken és úgy torzítja az eredeti művet, egyszerűen puszta ártás formájában (az említett bírói ítéletek a „</w:t>
      </w:r>
      <w:proofErr w:type="spellStart"/>
      <w:r w:rsidR="009B3086" w:rsidRPr="008E527C">
        <w:rPr>
          <w:rFonts w:asciiTheme="minorHAnsi" w:hAnsiTheme="minorHAnsi" w:cstheme="minorHAnsi"/>
        </w:rPr>
        <w:t>nuire</w:t>
      </w:r>
      <w:proofErr w:type="spellEnd"/>
      <w:r w:rsidR="009B3086" w:rsidRPr="008E527C">
        <w:rPr>
          <w:rFonts w:asciiTheme="minorHAnsi" w:hAnsiTheme="minorHAnsi" w:cstheme="minorHAnsi"/>
        </w:rPr>
        <w:t xml:space="preserve">”, vagyis az „ártani” igét használják erre), akkor annak felhasználása, egyszerre sért vagyoni jogokat (miután a kivétel nem alkalmazható) és személyhez fűződő jogokat. </w:t>
      </w:r>
    </w:p>
    <w:p w:rsidR="00702B94" w:rsidRDefault="00DD2393" w:rsidP="00291364">
      <w:pPr>
        <w:pStyle w:val="c32dispositifmarge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34. </w:t>
      </w:r>
      <w:r w:rsidR="003F6460" w:rsidRPr="008E527C">
        <w:rPr>
          <w:rFonts w:asciiTheme="minorHAnsi" w:hAnsiTheme="minorHAnsi" w:cstheme="minorHAnsi"/>
        </w:rPr>
        <w:t xml:space="preserve">Mint említettem, a fentiekre figyelemmel, az </w:t>
      </w:r>
      <w:proofErr w:type="gramStart"/>
      <w:r w:rsidR="009B3086" w:rsidRPr="008E527C">
        <w:rPr>
          <w:rFonts w:asciiTheme="minorHAnsi" w:hAnsiTheme="minorHAnsi" w:cstheme="minorHAnsi"/>
        </w:rPr>
        <w:t>A</w:t>
      </w:r>
      <w:proofErr w:type="gramEnd"/>
      <w:r w:rsidR="009B3086" w:rsidRPr="008E527C">
        <w:rPr>
          <w:rFonts w:asciiTheme="minorHAnsi" w:hAnsiTheme="minorHAnsi" w:cstheme="minorHAnsi"/>
        </w:rPr>
        <w:t xml:space="preserve"> változat </w:t>
      </w:r>
      <w:r w:rsidR="003F6460" w:rsidRPr="008E527C">
        <w:rPr>
          <w:rFonts w:asciiTheme="minorHAnsi" w:hAnsiTheme="minorHAnsi" w:cstheme="minorHAnsi"/>
        </w:rPr>
        <w:t xml:space="preserve">elfogadását tartanám szerencsésebben. Ha a B változat alapján a </w:t>
      </w:r>
      <w:r w:rsidR="009B3086" w:rsidRPr="008E527C">
        <w:rPr>
          <w:rFonts w:asciiTheme="minorHAnsi" w:hAnsiTheme="minorHAnsi" w:cstheme="minorHAnsi"/>
        </w:rPr>
        <w:t xml:space="preserve">bírósági gyakorlatra </w:t>
      </w:r>
      <w:r w:rsidR="003F6460" w:rsidRPr="008E527C">
        <w:rPr>
          <w:rFonts w:asciiTheme="minorHAnsi" w:hAnsiTheme="minorHAnsi" w:cstheme="minorHAnsi"/>
        </w:rPr>
        <w:t xml:space="preserve">bíznánk </w:t>
      </w:r>
      <w:r w:rsidR="009B3086" w:rsidRPr="008E527C">
        <w:rPr>
          <w:rFonts w:asciiTheme="minorHAnsi" w:hAnsiTheme="minorHAnsi" w:cstheme="minorHAnsi"/>
        </w:rPr>
        <w:t xml:space="preserve">a </w:t>
      </w:r>
      <w:r w:rsidR="003F6460" w:rsidRPr="008E527C">
        <w:rPr>
          <w:rFonts w:asciiTheme="minorHAnsi" w:hAnsiTheme="minorHAnsi" w:cstheme="minorHAnsi"/>
        </w:rPr>
        <w:t>paródia érintett kérdéseinek a szabályozását (aminek ésszerűen ugyanolyan eredményre kellene jutnia</w:t>
      </w:r>
      <w:r w:rsidR="00D64594">
        <w:rPr>
          <w:rFonts w:asciiTheme="minorHAnsi" w:hAnsiTheme="minorHAnsi" w:cstheme="minorHAnsi"/>
        </w:rPr>
        <w:t>)</w:t>
      </w:r>
      <w:r w:rsidR="003F6460" w:rsidRPr="008E527C">
        <w:rPr>
          <w:rFonts w:asciiTheme="minorHAnsi" w:hAnsiTheme="minorHAnsi" w:cstheme="minorHAnsi"/>
        </w:rPr>
        <w:t>, értelmezési problémák merülhetnek fel az azokkal járó jogbizonytalansággal együtt</w:t>
      </w:r>
      <w:r w:rsidR="00346F05" w:rsidRPr="008E527C">
        <w:rPr>
          <w:rFonts w:asciiTheme="minorHAnsi" w:hAnsiTheme="minorHAnsi" w:cstheme="minorHAnsi"/>
        </w:rPr>
        <w:t xml:space="preserve"> –</w:t>
      </w:r>
      <w:r w:rsidR="003F6460" w:rsidRPr="008E527C">
        <w:rPr>
          <w:rFonts w:asciiTheme="minorHAnsi" w:hAnsiTheme="minorHAnsi" w:cstheme="minorHAnsi"/>
        </w:rPr>
        <w:t xml:space="preserve"> amit egy ilyen </w:t>
      </w:r>
      <w:r w:rsidR="00346F05" w:rsidRPr="008E527C">
        <w:rPr>
          <w:rFonts w:asciiTheme="minorHAnsi" w:hAnsiTheme="minorHAnsi" w:cstheme="minorHAnsi"/>
        </w:rPr>
        <w:t xml:space="preserve">egyre </w:t>
      </w:r>
      <w:r w:rsidR="003F6460" w:rsidRPr="008E527C">
        <w:rPr>
          <w:rFonts w:asciiTheme="minorHAnsi" w:hAnsiTheme="minorHAnsi" w:cstheme="minorHAnsi"/>
        </w:rPr>
        <w:t>tömegessé vált jelenség esetében jobb elkerülni legalább a leglényegesebb szempontok szabályozásával</w:t>
      </w:r>
      <w:r w:rsidR="00346F05" w:rsidRPr="008E527C">
        <w:rPr>
          <w:rFonts w:asciiTheme="minorHAnsi" w:hAnsiTheme="minorHAnsi" w:cstheme="minorHAnsi"/>
        </w:rPr>
        <w:t>. Viszont jónak látnám, ha a német és francia jogi szabályozás és gyakorlat egy követésre érdemes elemét fel</w:t>
      </w:r>
      <w:r w:rsidR="00D64594">
        <w:rPr>
          <w:rFonts w:asciiTheme="minorHAnsi" w:hAnsiTheme="minorHAnsi" w:cstheme="minorHAnsi"/>
        </w:rPr>
        <w:t>hasz</w:t>
      </w:r>
      <w:r w:rsidR="00346F05" w:rsidRPr="008E527C">
        <w:rPr>
          <w:rFonts w:asciiTheme="minorHAnsi" w:hAnsiTheme="minorHAnsi" w:cstheme="minorHAnsi"/>
        </w:rPr>
        <w:t xml:space="preserve">nálva, beépülne (2) bekezdés rendelkezésébe a paródia, mint műfaj jellegével való összhang, mint a személyhez fűződő jogok és az egyéb jogok és érdekek közötti összhang garanciája. </w:t>
      </w:r>
      <w:r w:rsidR="008E527C">
        <w:rPr>
          <w:rFonts w:asciiTheme="minorHAnsi" w:hAnsiTheme="minorHAnsi" w:cstheme="minorHAnsi"/>
        </w:rPr>
        <w:t>Mint ahogy fent látható</w:t>
      </w:r>
      <w:r w:rsidR="00702B94">
        <w:rPr>
          <w:rFonts w:asciiTheme="minorHAnsi" w:hAnsiTheme="minorHAnsi" w:cstheme="minorHAnsi"/>
        </w:rPr>
        <w:t>,</w:t>
      </w:r>
      <w:r w:rsidR="00D64594">
        <w:rPr>
          <w:rFonts w:asciiTheme="minorHAnsi" w:hAnsiTheme="minorHAnsi" w:cstheme="minorHAnsi"/>
        </w:rPr>
        <w:t xml:space="preserve"> </w:t>
      </w:r>
      <w:proofErr w:type="gramStart"/>
      <w:r w:rsidR="00D64594">
        <w:rPr>
          <w:rFonts w:asciiTheme="minorHAnsi" w:hAnsiTheme="minorHAnsi" w:cstheme="minorHAnsi"/>
        </w:rPr>
        <w:t>az</w:t>
      </w:r>
      <w:r w:rsidR="008E527C">
        <w:rPr>
          <w:rFonts w:asciiTheme="minorHAnsi" w:hAnsiTheme="minorHAnsi" w:cstheme="minorHAnsi"/>
        </w:rPr>
        <w:t xml:space="preserve"> </w:t>
      </w:r>
      <w:r w:rsidR="00346F05" w:rsidRPr="008E527C">
        <w:rPr>
          <w:rFonts w:asciiTheme="minorHAnsi" w:hAnsiTheme="minorHAnsi" w:cstheme="minorHAnsi"/>
        </w:rPr>
        <w:t xml:space="preserve"> általam</w:t>
      </w:r>
      <w:proofErr w:type="gramEnd"/>
      <w:r w:rsidR="00346F05" w:rsidRPr="008E527C">
        <w:rPr>
          <w:rFonts w:asciiTheme="minorHAnsi" w:hAnsiTheme="minorHAnsi" w:cstheme="minorHAnsi"/>
        </w:rPr>
        <w:t xml:space="preserve"> ismert változatban ez áll:    </w:t>
      </w:r>
    </w:p>
    <w:p w:rsidR="00702B94" w:rsidRDefault="00346F05" w:rsidP="00702B94">
      <w:pPr>
        <w:shd w:val="clear" w:color="auto" w:fill="FFFFFF" w:themeFill="background1"/>
        <w:ind w:left="567"/>
        <w:jc w:val="both"/>
        <w:rPr>
          <w:sz w:val="24"/>
          <w:szCs w:val="24"/>
        </w:rPr>
      </w:pPr>
      <w:r w:rsidRPr="008E527C">
        <w:rPr>
          <w:rFonts w:asciiTheme="minorHAnsi" w:hAnsiTheme="minorHAnsi" w:cstheme="minorHAnsi"/>
        </w:rPr>
        <w:t xml:space="preserve"> </w:t>
      </w:r>
      <w:r w:rsidR="00702B94" w:rsidRPr="008E527C">
        <w:rPr>
          <w:color w:val="000000"/>
          <w:sz w:val="24"/>
          <w:szCs w:val="24"/>
        </w:rPr>
        <w:t>(2) A szerző a mű egységének sérelmére művének paródia céljából [34/</w:t>
      </w:r>
      <w:proofErr w:type="gramStart"/>
      <w:r w:rsidR="00702B94" w:rsidRPr="008E527C">
        <w:rPr>
          <w:color w:val="000000"/>
          <w:sz w:val="24"/>
          <w:szCs w:val="24"/>
        </w:rPr>
        <w:t>A</w:t>
      </w:r>
      <w:proofErr w:type="gramEnd"/>
      <w:r w:rsidR="00702B94" w:rsidRPr="008E527C">
        <w:rPr>
          <w:color w:val="000000"/>
          <w:sz w:val="24"/>
          <w:szCs w:val="24"/>
        </w:rPr>
        <w:t>. §] történő felhasználása esetén akkor hivatkozhat, ha a felhasználás túllépi a szükséges és arányos mértéket.</w:t>
      </w:r>
      <w:r w:rsidR="00702B94" w:rsidRPr="008E527C">
        <w:rPr>
          <w:sz w:val="24"/>
          <w:szCs w:val="24"/>
        </w:rPr>
        <w:t xml:space="preserve">  </w:t>
      </w:r>
    </w:p>
    <w:p w:rsidR="00702B94" w:rsidRDefault="00702B94" w:rsidP="00702B94">
      <w:pPr>
        <w:shd w:val="clear" w:color="auto" w:fill="FFFFFF" w:themeFill="background1"/>
        <w:ind w:left="567"/>
        <w:jc w:val="both"/>
        <w:rPr>
          <w:sz w:val="24"/>
          <w:szCs w:val="24"/>
        </w:rPr>
      </w:pPr>
    </w:p>
    <w:p w:rsidR="00702B94" w:rsidRPr="008E527C" w:rsidRDefault="00DD2393" w:rsidP="00702B94">
      <w:p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702B94">
        <w:rPr>
          <w:sz w:val="24"/>
          <w:szCs w:val="24"/>
        </w:rPr>
        <w:t xml:space="preserve">A fenti elem beépítése azért is hasznos lenne, mert ugyan a rendelkezéstervezet a szükséges és arányos mérték túllépésének a tilalmát tartalmazza, nem eléggé világos minek a mértékéről is van szó. A módosított változat így szólhatna:     </w:t>
      </w:r>
    </w:p>
    <w:p w:rsidR="00702B94" w:rsidRDefault="00702B94" w:rsidP="00702B94">
      <w:pPr>
        <w:shd w:val="clear" w:color="auto" w:fill="FFFFFF" w:themeFill="background1"/>
        <w:ind w:left="567"/>
        <w:jc w:val="both"/>
        <w:rPr>
          <w:color w:val="000000"/>
          <w:sz w:val="24"/>
          <w:szCs w:val="24"/>
        </w:rPr>
      </w:pPr>
    </w:p>
    <w:p w:rsidR="00702B94" w:rsidRDefault="00702B94" w:rsidP="00702B94">
      <w:pPr>
        <w:shd w:val="clear" w:color="auto" w:fill="FFFFFF" w:themeFill="background1"/>
        <w:ind w:left="567"/>
        <w:jc w:val="both"/>
        <w:rPr>
          <w:color w:val="000000"/>
          <w:sz w:val="24"/>
          <w:szCs w:val="24"/>
        </w:rPr>
      </w:pPr>
      <w:r w:rsidRPr="008E527C">
        <w:rPr>
          <w:color w:val="000000"/>
          <w:sz w:val="24"/>
          <w:szCs w:val="24"/>
        </w:rPr>
        <w:t>(2) A szerző a mű egységének sérelmére művének paródia céljából [34/</w:t>
      </w:r>
      <w:proofErr w:type="gramStart"/>
      <w:r w:rsidRPr="008E527C">
        <w:rPr>
          <w:color w:val="000000"/>
          <w:sz w:val="24"/>
          <w:szCs w:val="24"/>
        </w:rPr>
        <w:t>A</w:t>
      </w:r>
      <w:proofErr w:type="gramEnd"/>
      <w:r w:rsidRPr="008E527C">
        <w:rPr>
          <w:color w:val="000000"/>
          <w:sz w:val="24"/>
          <w:szCs w:val="24"/>
        </w:rPr>
        <w:t xml:space="preserve">. §] történő felhasználása esetén akkor hivatkozhat, ha a felhasználás túllépi </w:t>
      </w:r>
      <w:r>
        <w:rPr>
          <w:color w:val="000000"/>
          <w:sz w:val="24"/>
          <w:szCs w:val="24"/>
        </w:rPr>
        <w:t xml:space="preserve">a paródia műfajának megfelelő </w:t>
      </w:r>
      <w:r w:rsidRPr="008E527C">
        <w:rPr>
          <w:color w:val="000000"/>
          <w:sz w:val="24"/>
          <w:szCs w:val="24"/>
        </w:rPr>
        <w:t>szükséges és arányos mértéket</w:t>
      </w:r>
      <w:r>
        <w:rPr>
          <w:color w:val="000000"/>
          <w:sz w:val="24"/>
          <w:szCs w:val="24"/>
        </w:rPr>
        <w:t>.</w:t>
      </w:r>
    </w:p>
    <w:p w:rsidR="00D64594" w:rsidRDefault="00D64594" w:rsidP="00702B94">
      <w:pPr>
        <w:shd w:val="clear" w:color="auto" w:fill="FFFFFF" w:themeFill="background1"/>
        <w:ind w:left="567"/>
        <w:jc w:val="both"/>
        <w:rPr>
          <w:color w:val="000000"/>
          <w:sz w:val="24"/>
          <w:szCs w:val="24"/>
        </w:rPr>
      </w:pPr>
    </w:p>
    <w:p w:rsidR="00D64594" w:rsidRDefault="00D64594" w:rsidP="00D64594">
      <w:pPr>
        <w:shd w:val="clear" w:color="auto" w:fill="FFFFFF" w:themeFill="background1"/>
        <w:ind w:left="567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Cs/>
        </w:rPr>
        <w:t>-.-.-.-.-.-.-.-</w:t>
      </w:r>
    </w:p>
    <w:p w:rsidR="001A730C" w:rsidRDefault="001A730C" w:rsidP="00195B20">
      <w:pPr>
        <w:jc w:val="both"/>
        <w:rPr>
          <w:sz w:val="24"/>
          <w:szCs w:val="24"/>
        </w:rPr>
      </w:pPr>
    </w:p>
    <w:p w:rsidR="00D64594" w:rsidRDefault="00D64594" w:rsidP="00195B20">
      <w:pPr>
        <w:jc w:val="both"/>
      </w:pPr>
    </w:p>
    <w:sectPr w:rsidR="00D6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85" w:rsidRDefault="00B71A85" w:rsidP="00BC1578">
      <w:r>
        <w:separator/>
      </w:r>
    </w:p>
  </w:endnote>
  <w:endnote w:type="continuationSeparator" w:id="0">
    <w:p w:rsidR="00B71A85" w:rsidRDefault="00B71A85" w:rsidP="00BC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85" w:rsidRDefault="00B71A85" w:rsidP="00BC1578">
      <w:r>
        <w:separator/>
      </w:r>
    </w:p>
  </w:footnote>
  <w:footnote w:type="continuationSeparator" w:id="0">
    <w:p w:rsidR="00B71A85" w:rsidRDefault="00B71A85" w:rsidP="00BC1578">
      <w:r>
        <w:continuationSeparator/>
      </w:r>
    </w:p>
  </w:footnote>
  <w:footnote w:id="1">
    <w:p w:rsidR="004641B7" w:rsidRDefault="004641B7">
      <w:pPr>
        <w:pStyle w:val="Lbjegyzetszveg"/>
      </w:pPr>
      <w:r>
        <w:rPr>
          <w:rStyle w:val="Lbjegyzet-hivatkozs"/>
        </w:rPr>
        <w:footnoteRef/>
      </w:r>
      <w:r>
        <w:t xml:space="preserve"> Hozzáférhető pl. a következő weblapon</w:t>
      </w:r>
      <w:proofErr w:type="gramStart"/>
      <w:r>
        <w:t xml:space="preserve">:  </w:t>
      </w:r>
      <w:hyperlink r:id="rId1" w:history="1">
        <w:r w:rsidR="00595D95" w:rsidRPr="00595D95">
          <w:rPr>
            <w:rStyle w:val="Hiperhivatkozs"/>
            <w:color w:val="auto"/>
            <w:u w:val="none"/>
          </w:rPr>
          <w:t>https</w:t>
        </w:r>
        <w:proofErr w:type="gramEnd"/>
        <w:r w:rsidR="00595D95" w:rsidRPr="00595D95">
          <w:rPr>
            <w:rStyle w:val="Hiperhivatkozs"/>
            <w:color w:val="auto"/>
            <w:u w:val="none"/>
          </w:rPr>
          <w:t>://www.jiptec.eu/issues/jiptec-10-3-2019/5042</w:t>
        </w:r>
      </w:hyperlink>
      <w:r w:rsidR="00595D95" w:rsidRPr="00595D95">
        <w:t xml:space="preserve">. </w:t>
      </w:r>
    </w:p>
  </w:footnote>
  <w:footnote w:id="2">
    <w:p w:rsidR="00595D95" w:rsidRPr="00016757" w:rsidRDefault="00595D95">
      <w:pPr>
        <w:pStyle w:val="Lbjegyzetszveg"/>
      </w:pPr>
      <w:r w:rsidRPr="00016757">
        <w:rPr>
          <w:rStyle w:val="Lbjegyzet-hivatkozs"/>
        </w:rPr>
        <w:footnoteRef/>
      </w:r>
      <w:r w:rsidRPr="00016757">
        <w:t xml:space="preserve"> </w:t>
      </w:r>
      <w:r w:rsidR="00016757" w:rsidRPr="00016757">
        <w:t xml:space="preserve">Ld. </w:t>
      </w:r>
      <w:hyperlink r:id="rId2" w:history="1">
        <w:r w:rsidR="00016757" w:rsidRPr="00016757">
          <w:rPr>
            <w:rStyle w:val="Hiperhivatkozs"/>
            <w:color w:val="auto"/>
            <w:u w:val="none"/>
          </w:rPr>
          <w:t>https://www.alai.org/en/assets/files/resolutions/200330-opinion-article-17-directive-2019_790-en.pdf</w:t>
        </w:r>
      </w:hyperlink>
      <w:r w:rsidR="00016757" w:rsidRPr="00016757">
        <w:t xml:space="preserve">. </w:t>
      </w:r>
    </w:p>
  </w:footnote>
  <w:footnote w:id="3">
    <w:p w:rsidR="00526693" w:rsidRDefault="00BC1578" w:rsidP="002238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Arcanum</w:t>
      </w:r>
      <w:proofErr w:type="spellEnd"/>
      <w:r>
        <w:t xml:space="preserve"> weboldalon „A magyar </w:t>
      </w:r>
      <w:proofErr w:type="gramStart"/>
      <w:r>
        <w:t>nyelv értelmező</w:t>
      </w:r>
      <w:proofErr w:type="gramEnd"/>
      <w:r>
        <w:t xml:space="preserve"> szótárából” vett idézetben kilenc meghatározás </w:t>
      </w:r>
      <w:r w:rsidR="00526693">
        <w:t>szerepel</w:t>
      </w:r>
      <w:r>
        <w:t xml:space="preserve"> az </w:t>
      </w:r>
      <w:r w:rsidR="00526693">
        <w:t>„</w:t>
      </w:r>
      <w:r>
        <w:t>egység</w:t>
      </w:r>
      <w:r w:rsidR="00526693">
        <w:t>”</w:t>
      </w:r>
      <w:r>
        <w:t xml:space="preserve"> szóra. Némelyik talán utal a csonkítás-mentességre, de egyik sem a torzítás-mentességre, míg a</w:t>
      </w:r>
      <w:r w:rsidR="00526693">
        <w:t>z „integritás” szóra ilyen meghatározások találhatók: „érintetlenség”, „sértetlenség”, „tisztelet”, becsület” (ld.</w:t>
      </w:r>
    </w:p>
    <w:p w:rsidR="00BC1578" w:rsidRPr="00526693" w:rsidRDefault="00B71A85" w:rsidP="002238F1">
      <w:pPr>
        <w:pStyle w:val="Lbjegyzetszveg"/>
        <w:jc w:val="both"/>
      </w:pPr>
      <w:hyperlink r:id="rId3" w:history="1">
        <w:r w:rsidR="00526693" w:rsidRPr="00526693">
          <w:rPr>
            <w:rStyle w:val="Hiperhivatkozs"/>
            <w:color w:val="auto"/>
            <w:u w:val="none"/>
          </w:rPr>
          <w:t>https://idegen-szavak.hu</w:t>
        </w:r>
      </w:hyperlink>
      <w:r w:rsidR="00526693" w:rsidRPr="00526693">
        <w:t xml:space="preserve">, </w:t>
      </w:r>
      <w:hyperlink r:id="rId4" w:history="1">
        <w:r w:rsidR="00526693" w:rsidRPr="00526693">
          <w:rPr>
            <w:rStyle w:val="Hiperhivatkozs"/>
            <w:color w:val="auto"/>
            <w:u w:val="none"/>
          </w:rPr>
          <w:t>https://idegen-szavak-szotara.hu</w:t>
        </w:r>
      </w:hyperlink>
      <w:r w:rsidR="00526693" w:rsidRPr="00526693">
        <w:t xml:space="preserve">). </w:t>
      </w:r>
      <w:r w:rsidR="00BC1578" w:rsidRPr="00526693">
        <w:t xml:space="preserve"> </w:t>
      </w:r>
    </w:p>
  </w:footnote>
  <w:footnote w:id="4">
    <w:p w:rsidR="001E51AD" w:rsidRDefault="001E51AD">
      <w:pPr>
        <w:pStyle w:val="Lbjegyzetszveg"/>
      </w:pPr>
      <w:r>
        <w:rPr>
          <w:rStyle w:val="Lbjegyzet-hivatkozs"/>
        </w:rPr>
        <w:footnoteRef/>
      </w:r>
      <w:r>
        <w:t xml:space="preserve"> A hivatkozás azért hiányzik, mert a kongresszus anyagát tartalmazó könyv még nem készült el. </w:t>
      </w:r>
    </w:p>
  </w:footnote>
  <w:footnote w:id="5">
    <w:p w:rsidR="00821968" w:rsidRDefault="00821968">
      <w:pPr>
        <w:pStyle w:val="Lbjegyzetszveg"/>
      </w:pPr>
      <w:r>
        <w:rPr>
          <w:rStyle w:val="Lbjegyzet-hivatkozs"/>
        </w:rPr>
        <w:footnoteRef/>
      </w:r>
      <w:r>
        <w:t xml:space="preserve"> Ld. WTO dokumentum </w:t>
      </w:r>
      <w:r w:rsidR="00055100">
        <w:t>WT/DS114/R (</w:t>
      </w:r>
      <w:proofErr w:type="gramStart"/>
      <w:r w:rsidR="00055100">
        <w:t>2000 március</w:t>
      </w:r>
      <w:proofErr w:type="gramEnd"/>
      <w:r w:rsidR="00055100">
        <w:t xml:space="preserve"> 17).</w:t>
      </w:r>
    </w:p>
  </w:footnote>
  <w:footnote w:id="6">
    <w:p w:rsidR="00730B60" w:rsidRPr="00730B60" w:rsidRDefault="00730B60" w:rsidP="00D645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No. </w:t>
      </w:r>
      <w:hyperlink r:id="rId5" w:tgtFrame="_blank" w:history="1">
        <w:r w:rsidRPr="00730B60">
          <w:rPr>
            <w:rStyle w:val="Hiperhivatkozs"/>
            <w:iCs/>
            <w:color w:val="auto"/>
            <w:u w:val="none"/>
          </w:rPr>
          <w:t>I ZR 9/15</w:t>
        </w:r>
      </w:hyperlink>
      <w:r>
        <w:rPr>
          <w:rStyle w:val="Hiperhivatkozs"/>
          <w:iCs/>
          <w:color w:val="auto"/>
          <w:u w:val="none"/>
        </w:rPr>
        <w:t xml:space="preserve"> (2016, július 28)</w:t>
      </w:r>
      <w:r w:rsidR="007D30EC">
        <w:rPr>
          <w:rStyle w:val="Hiperhivatkozs"/>
          <w:iCs/>
          <w:color w:val="auto"/>
          <w:u w:val="none"/>
        </w:rPr>
        <w:t xml:space="preserve"> (a továbbiakban: </w:t>
      </w:r>
      <w:proofErr w:type="gramStart"/>
      <w:r w:rsidR="007D30EC">
        <w:rPr>
          <w:rStyle w:val="Hiperhivatkozs"/>
          <w:iCs/>
          <w:color w:val="auto"/>
          <w:u w:val="none"/>
        </w:rPr>
        <w:t>„ BGH</w:t>
      </w:r>
      <w:proofErr w:type="gramEnd"/>
      <w:r w:rsidR="007D30EC">
        <w:rPr>
          <w:rStyle w:val="Hiperhivatkozs"/>
          <w:iCs/>
          <w:color w:val="auto"/>
          <w:u w:val="none"/>
        </w:rPr>
        <w:t xml:space="preserve"> ítélet”)</w:t>
      </w:r>
      <w:r>
        <w:rPr>
          <w:rStyle w:val="Hiperhivatkozs"/>
          <w:iCs/>
          <w:color w:val="auto"/>
          <w:u w:val="none"/>
        </w:rPr>
        <w:t xml:space="preserve">.   </w:t>
      </w:r>
    </w:p>
  </w:footnote>
  <w:footnote w:id="7">
    <w:p w:rsidR="00293B45" w:rsidRPr="00293B45" w:rsidRDefault="001F2A44" w:rsidP="00D64594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93B45">
        <w:rPr>
          <w:rStyle w:val="Lbjegyzet-hivatkozs"/>
          <w:rFonts w:asciiTheme="minorHAnsi" w:hAnsiTheme="minorHAnsi" w:cstheme="minorHAnsi"/>
          <w:sz w:val="20"/>
          <w:szCs w:val="20"/>
          <w:lang w:val="en-GB"/>
        </w:rPr>
        <w:footnoteRef/>
      </w:r>
      <w:r w:rsidRPr="00293B45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293B45" w:rsidRPr="00293B45">
        <w:rPr>
          <w:rFonts w:asciiTheme="minorHAnsi" w:hAnsiTheme="minorHAnsi" w:cstheme="minorHAnsi"/>
          <w:sz w:val="20"/>
          <w:szCs w:val="20"/>
          <w:lang w:val="en-GB"/>
        </w:rPr>
        <w:t>24</w:t>
      </w:r>
      <w:proofErr w:type="gramStart"/>
      <w:r w:rsidR="00293B45" w:rsidRPr="00293B45">
        <w:rPr>
          <w:rFonts w:asciiTheme="minorHAnsi" w:hAnsiTheme="minorHAnsi" w:cstheme="minorHAnsi"/>
          <w:sz w:val="20"/>
          <w:szCs w:val="20"/>
          <w:lang w:val="en-GB"/>
        </w:rPr>
        <w:t>.§</w:t>
      </w:r>
      <w:proofErr w:type="gramEnd"/>
      <w:r w:rsidR="00293B45" w:rsidRPr="00293B45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293B45" w:rsidRPr="00293B45">
        <w:rPr>
          <w:lang w:val="en-GB"/>
        </w:rPr>
        <w:t xml:space="preserve"> </w:t>
      </w:r>
      <w:r w:rsidR="00293B45" w:rsidRPr="00293B45">
        <w:rPr>
          <w:rFonts w:asciiTheme="minorHAnsi" w:hAnsiTheme="minorHAnsi" w:cstheme="minorHAnsi"/>
          <w:sz w:val="20"/>
          <w:szCs w:val="20"/>
          <w:lang w:val="en-GB"/>
        </w:rPr>
        <w:t>(1) An independent work created in the free use of the work of another person may be published or exploited without the consent of the author of the work used.</w:t>
      </w:r>
      <w:bookmarkStart w:id="2" w:name="p0117"/>
      <w:bookmarkEnd w:id="2"/>
    </w:p>
    <w:p w:rsidR="00293B45" w:rsidRPr="003C5CE2" w:rsidRDefault="00293B45" w:rsidP="00D64594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293B45">
        <w:rPr>
          <w:rFonts w:asciiTheme="minorHAnsi" w:hAnsiTheme="minorHAnsi" w:cstheme="minorHAnsi"/>
          <w:sz w:val="20"/>
          <w:szCs w:val="20"/>
          <w:lang w:val="en-GB"/>
        </w:rPr>
        <w:t>(2) Subsection (1) shall not apply to the use of a musical work in which a melody is recognisably taken from the work and used as the basis for a new work.</w:t>
      </w:r>
      <w:r w:rsidRPr="003C5CE2">
        <w:rPr>
          <w:rFonts w:asciiTheme="minorHAnsi" w:hAnsiTheme="minorHAnsi" w:cstheme="minorHAnsi"/>
          <w:sz w:val="20"/>
          <w:szCs w:val="20"/>
          <w:lang w:val="en-GB"/>
        </w:rPr>
        <w:t xml:space="preserve"> (</w:t>
      </w:r>
      <w:proofErr w:type="spellStart"/>
      <w:r w:rsidRPr="003C5CE2">
        <w:rPr>
          <w:rFonts w:asciiTheme="minorHAnsi" w:hAnsiTheme="minorHAnsi" w:cstheme="minorHAnsi"/>
          <w:sz w:val="20"/>
          <w:szCs w:val="20"/>
          <w:lang w:val="en-GB"/>
        </w:rPr>
        <w:t>Forrás</w:t>
      </w:r>
      <w:proofErr w:type="spellEnd"/>
      <w:r w:rsidRPr="003C5CE2">
        <w:rPr>
          <w:rFonts w:asciiTheme="minorHAnsi" w:hAnsiTheme="minorHAnsi" w:cstheme="minorHAnsi"/>
          <w:sz w:val="20"/>
          <w:szCs w:val="20"/>
          <w:lang w:val="en-GB"/>
        </w:rPr>
        <w:t xml:space="preserve">: </w:t>
      </w:r>
      <w:proofErr w:type="spellStart"/>
      <w:r w:rsidRPr="003C5CE2">
        <w:rPr>
          <w:rFonts w:asciiTheme="minorHAnsi" w:hAnsiTheme="minorHAnsi" w:cstheme="minorHAnsi"/>
          <w:sz w:val="20"/>
          <w:szCs w:val="20"/>
          <w:lang w:val="en-GB"/>
        </w:rPr>
        <w:t>WIPOLex</w:t>
      </w:r>
      <w:proofErr w:type="spellEnd"/>
      <w:r w:rsidRPr="003C5CE2">
        <w:rPr>
          <w:rFonts w:asciiTheme="minorHAnsi" w:hAnsiTheme="minorHAnsi" w:cstheme="minorHAnsi"/>
          <w:sz w:val="20"/>
          <w:szCs w:val="20"/>
          <w:lang w:val="en-GB"/>
        </w:rPr>
        <w:t>.)</w:t>
      </w:r>
    </w:p>
    <w:p w:rsidR="001F2A44" w:rsidRPr="003C5CE2" w:rsidRDefault="00293B45" w:rsidP="00D64594">
      <w:pPr>
        <w:pStyle w:val="NormlWeb"/>
        <w:spacing w:before="0" w:beforeAutospacing="0" w:after="0" w:afterAutospacing="0"/>
        <w:jc w:val="both"/>
      </w:pPr>
      <w:r w:rsidRPr="003C5CE2">
        <w:rPr>
          <w:rFonts w:asciiTheme="minorHAnsi" w:hAnsiTheme="minorHAnsi" w:cstheme="minorHAnsi"/>
          <w:sz w:val="20"/>
          <w:szCs w:val="20"/>
        </w:rPr>
        <w:t xml:space="preserve">Ezek a rendelkezések ihlették, és körülbelül ennek felelt meg a </w:t>
      </w:r>
      <w:proofErr w:type="spellStart"/>
      <w:r w:rsidRPr="003C5CE2">
        <w:rPr>
          <w:rFonts w:asciiTheme="minorHAnsi" w:hAnsiTheme="minorHAnsi" w:cstheme="minorHAnsi"/>
          <w:sz w:val="20"/>
          <w:szCs w:val="20"/>
        </w:rPr>
        <w:t>Benárd-féle</w:t>
      </w:r>
      <w:proofErr w:type="spellEnd"/>
      <w:r w:rsidRPr="003C5CE2">
        <w:rPr>
          <w:rFonts w:asciiTheme="minorHAnsi" w:hAnsiTheme="minorHAnsi" w:cstheme="minorHAnsi"/>
          <w:sz w:val="20"/>
          <w:szCs w:val="20"/>
        </w:rPr>
        <w:t xml:space="preserve"> szerzői jogi törvény (1969. évi III. törvény) 17.§</w:t>
      </w:r>
      <w:proofErr w:type="spellStart"/>
      <w:r w:rsidRPr="003C5CE2">
        <w:rPr>
          <w:rFonts w:asciiTheme="minorHAnsi" w:hAnsiTheme="minorHAnsi" w:cstheme="minorHAnsi"/>
          <w:sz w:val="20"/>
          <w:szCs w:val="20"/>
        </w:rPr>
        <w:t>-ának</w:t>
      </w:r>
      <w:proofErr w:type="spellEnd"/>
      <w:r w:rsidRPr="003C5CE2">
        <w:rPr>
          <w:rFonts w:asciiTheme="minorHAnsi" w:hAnsiTheme="minorHAnsi" w:cstheme="minorHAnsi"/>
          <w:sz w:val="20"/>
          <w:szCs w:val="20"/>
        </w:rPr>
        <w:t xml:space="preserve"> (3) bekezdésében foglalt a rendelkezés: </w:t>
      </w:r>
      <w:r w:rsidR="003C5CE2" w:rsidRPr="003C5CE2">
        <w:rPr>
          <w:rFonts w:asciiTheme="minorHAnsi" w:hAnsiTheme="minorHAnsi" w:cstheme="minorHAnsi"/>
          <w:sz w:val="20"/>
          <w:szCs w:val="20"/>
        </w:rPr>
        <w:t xml:space="preserve">“Új önálló mű alkotásához idegen mű felhasználható; ez a jog azonban </w:t>
      </w:r>
      <w:r w:rsidR="003C5CE2">
        <w:rPr>
          <w:rFonts w:asciiTheme="minorHAnsi" w:hAnsiTheme="minorHAnsi" w:cstheme="minorHAnsi"/>
          <w:sz w:val="20"/>
          <w:szCs w:val="20"/>
        </w:rPr>
        <w:t>nem</w:t>
      </w:r>
      <w:r w:rsidR="003C5CE2" w:rsidRPr="003C5CE2">
        <w:rPr>
          <w:rFonts w:asciiTheme="minorHAnsi" w:hAnsiTheme="minorHAnsi" w:cstheme="minorHAnsi"/>
          <w:sz w:val="20"/>
          <w:szCs w:val="20"/>
        </w:rPr>
        <w:t xml:space="preserve"> terjed ki az idegen mű átdolgozására sz</w:t>
      </w:r>
      <w:r w:rsidR="003C5CE2">
        <w:rPr>
          <w:rFonts w:asciiTheme="minorHAnsi" w:hAnsiTheme="minorHAnsi" w:cstheme="minorHAnsi"/>
          <w:sz w:val="20"/>
          <w:szCs w:val="20"/>
        </w:rPr>
        <w:t>í</w:t>
      </w:r>
      <w:r w:rsidR="003C5CE2" w:rsidRPr="003C5CE2">
        <w:rPr>
          <w:rFonts w:asciiTheme="minorHAnsi" w:hAnsiTheme="minorHAnsi" w:cstheme="minorHAnsi"/>
          <w:sz w:val="20"/>
          <w:szCs w:val="20"/>
        </w:rPr>
        <w:t xml:space="preserve">npad, film, rádió vagy a televízió céljára, valamint az azonos műfajban történő átdolgozásra.” </w:t>
      </w:r>
    </w:p>
  </w:footnote>
  <w:footnote w:id="8">
    <w:p w:rsidR="003C5CE2" w:rsidRDefault="003C5CE2">
      <w:pPr>
        <w:pStyle w:val="Lbjegyzetszveg"/>
      </w:pPr>
      <w:r>
        <w:rPr>
          <w:rStyle w:val="Lbjegyzet-hivatkozs"/>
        </w:rPr>
        <w:footnoteRef/>
      </w:r>
      <w:r>
        <w:t xml:space="preserve"> No. 310 O 233/10 (2011. február 25). </w:t>
      </w:r>
    </w:p>
  </w:footnote>
  <w:footnote w:id="9">
    <w:p w:rsidR="00842729" w:rsidRPr="004C66D0" w:rsidRDefault="00842729" w:rsidP="00D64594">
      <w:pPr>
        <w:pStyle w:val="Lbjegyzetszveg"/>
        <w:jc w:val="both"/>
        <w:rPr>
          <w:rFonts w:asciiTheme="minorHAnsi" w:hAnsiTheme="minorHAnsi" w:cstheme="minorHAnsi"/>
        </w:rPr>
      </w:pPr>
      <w:r w:rsidRPr="004C66D0">
        <w:rPr>
          <w:rStyle w:val="Lbjegyzet-hivatkozs"/>
          <w:rFonts w:asciiTheme="minorHAnsi" w:hAnsiTheme="minorHAnsi" w:cstheme="minorHAnsi"/>
        </w:rPr>
        <w:footnoteRef/>
      </w:r>
      <w:r w:rsidRPr="004C66D0">
        <w:rPr>
          <w:rFonts w:asciiTheme="minorHAnsi" w:hAnsiTheme="minorHAnsi" w:cstheme="minorHAnsi"/>
        </w:rPr>
        <w:t xml:space="preserve"> „Es </w:t>
      </w:r>
      <w:proofErr w:type="spellStart"/>
      <w:r w:rsidRPr="004C66D0">
        <w:rPr>
          <w:rFonts w:asciiTheme="minorHAnsi" w:hAnsiTheme="minorHAnsi" w:cstheme="minorHAnsi"/>
        </w:rPr>
        <w:t>kommt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vielmehr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darauf</w:t>
      </w:r>
      <w:proofErr w:type="spellEnd"/>
      <w:r w:rsidRPr="004C66D0">
        <w:rPr>
          <w:rFonts w:asciiTheme="minorHAnsi" w:hAnsiTheme="minorHAnsi" w:cstheme="minorHAnsi"/>
        </w:rPr>
        <w:t xml:space="preserve"> an, </w:t>
      </w:r>
      <w:proofErr w:type="spellStart"/>
      <w:r w:rsidRPr="004C66D0">
        <w:rPr>
          <w:rFonts w:asciiTheme="minorHAnsi" w:hAnsiTheme="minorHAnsi" w:cstheme="minorHAnsi"/>
        </w:rPr>
        <w:t>ob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durch</w:t>
      </w:r>
      <w:proofErr w:type="spellEnd"/>
      <w:r w:rsidRPr="004C66D0">
        <w:rPr>
          <w:rFonts w:asciiTheme="minorHAnsi" w:hAnsiTheme="minorHAnsi" w:cstheme="minorHAnsi"/>
        </w:rPr>
        <w:t xml:space="preserve"> die den </w:t>
      </w:r>
      <w:proofErr w:type="spellStart"/>
      <w:r w:rsidRPr="004C66D0">
        <w:rPr>
          <w:rFonts w:asciiTheme="minorHAnsi" w:hAnsiTheme="minorHAnsi" w:cstheme="minorHAnsi"/>
        </w:rPr>
        <w:t>Begriff</w:t>
      </w:r>
      <w:proofErr w:type="spellEnd"/>
      <w:r w:rsidRPr="004C66D0">
        <w:rPr>
          <w:rFonts w:asciiTheme="minorHAnsi" w:hAnsiTheme="minorHAnsi" w:cstheme="minorHAnsi"/>
        </w:rPr>
        <w:t xml:space="preserve"> der </w:t>
      </w:r>
      <w:proofErr w:type="spellStart"/>
      <w:r w:rsidRPr="004C66D0">
        <w:rPr>
          <w:rFonts w:asciiTheme="minorHAnsi" w:hAnsiTheme="minorHAnsi" w:cstheme="minorHAnsi"/>
        </w:rPr>
        <w:t>Parodie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erfüllenden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Verände-rungen</w:t>
      </w:r>
      <w:proofErr w:type="spellEnd"/>
      <w:r w:rsidRPr="004C66D0">
        <w:rPr>
          <w:rFonts w:asciiTheme="minorHAnsi" w:hAnsiTheme="minorHAnsi" w:cstheme="minorHAnsi"/>
        </w:rPr>
        <w:t xml:space="preserve"> des </w:t>
      </w:r>
      <w:proofErr w:type="spellStart"/>
      <w:r w:rsidRPr="004C66D0">
        <w:rPr>
          <w:rFonts w:asciiTheme="minorHAnsi" w:hAnsiTheme="minorHAnsi" w:cstheme="minorHAnsi"/>
        </w:rPr>
        <w:t>Werkes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Rechte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Dritter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verletzt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werden</w:t>
      </w:r>
      <w:proofErr w:type="spellEnd"/>
      <w:r w:rsidRPr="004C66D0">
        <w:rPr>
          <w:rFonts w:asciiTheme="minorHAnsi" w:hAnsiTheme="minorHAnsi" w:cstheme="minorHAnsi"/>
        </w:rPr>
        <w:t xml:space="preserve"> und der </w:t>
      </w:r>
      <w:proofErr w:type="spellStart"/>
      <w:r w:rsidRPr="004C66D0">
        <w:rPr>
          <w:rFonts w:asciiTheme="minorHAnsi" w:hAnsiTheme="minorHAnsi" w:cstheme="minorHAnsi"/>
        </w:rPr>
        <w:t>Urheber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ein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schutz-würdiges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Interesse</w:t>
      </w:r>
      <w:proofErr w:type="spellEnd"/>
      <w:r w:rsidRPr="004C66D0">
        <w:rPr>
          <w:rFonts w:asciiTheme="minorHAnsi" w:hAnsiTheme="minorHAnsi" w:cstheme="minorHAnsi"/>
        </w:rPr>
        <w:t xml:space="preserve"> hat, </w:t>
      </w:r>
      <w:proofErr w:type="spellStart"/>
      <w:r w:rsidRPr="004C66D0">
        <w:rPr>
          <w:rFonts w:asciiTheme="minorHAnsi" w:hAnsiTheme="minorHAnsi" w:cstheme="minorHAnsi"/>
        </w:rPr>
        <w:t>dass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sein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Werk</w:t>
      </w:r>
      <w:proofErr w:type="spellEnd"/>
      <w:r w:rsidRPr="004C66D0">
        <w:rPr>
          <w:rFonts w:asciiTheme="minorHAnsi" w:hAnsiTheme="minorHAnsi" w:cstheme="minorHAnsi"/>
        </w:rPr>
        <w:t xml:space="preserve"> mit </w:t>
      </w:r>
      <w:proofErr w:type="spellStart"/>
      <w:r w:rsidRPr="004C66D0">
        <w:rPr>
          <w:rFonts w:asciiTheme="minorHAnsi" w:hAnsiTheme="minorHAnsi" w:cstheme="minorHAnsi"/>
        </w:rPr>
        <w:t>einer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solchen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Rechtsverletzung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nicht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in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Verbindung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gebracht</w:t>
      </w:r>
      <w:proofErr w:type="spellEnd"/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wird</w:t>
      </w:r>
      <w:proofErr w:type="spellEnd"/>
      <w:r w:rsidRPr="004C66D0">
        <w:rPr>
          <w:rFonts w:asciiTheme="minorHAnsi" w:hAnsiTheme="minorHAnsi" w:cstheme="minorHAnsi"/>
        </w:rPr>
        <w:t>.” (BGH ítélet; 39. pont.)</w:t>
      </w:r>
    </w:p>
  </w:footnote>
  <w:footnote w:id="10">
    <w:p w:rsidR="004C66D0" w:rsidRPr="004C66D0" w:rsidRDefault="004C66D0" w:rsidP="00D64594">
      <w:pPr>
        <w:pStyle w:val="Lbjegyzetszveg"/>
        <w:jc w:val="both"/>
        <w:rPr>
          <w:rFonts w:asciiTheme="minorHAnsi" w:hAnsiTheme="minorHAnsi" w:cstheme="minorHAnsi"/>
        </w:rPr>
      </w:pPr>
      <w:r w:rsidRPr="004C66D0">
        <w:rPr>
          <w:rStyle w:val="Lbjegyzet-hivatkozs"/>
          <w:rFonts w:asciiTheme="minorHAnsi" w:hAnsiTheme="minorHAnsi" w:cstheme="minorHAnsi"/>
        </w:rPr>
        <w:footnoteRef/>
      </w:r>
      <w:r w:rsidRPr="004C66D0">
        <w:rPr>
          <w:rFonts w:asciiTheme="minorHAnsi" w:hAnsiTheme="minorHAnsi" w:cstheme="minorHAnsi"/>
        </w:rPr>
        <w:t xml:space="preserve"> </w:t>
      </w:r>
      <w:proofErr w:type="spellStart"/>
      <w:r w:rsidRPr="004C66D0">
        <w:rPr>
          <w:rFonts w:asciiTheme="minorHAnsi" w:hAnsiTheme="minorHAnsi" w:cstheme="minorHAnsi"/>
        </w:rPr>
        <w:t>U.o</w:t>
      </w:r>
      <w:proofErr w:type="spellEnd"/>
      <w:proofErr w:type="gramStart"/>
      <w:r w:rsidRPr="004C66D0">
        <w:rPr>
          <w:rFonts w:asciiTheme="minorHAnsi" w:hAnsiTheme="minorHAnsi" w:cstheme="minorHAnsi"/>
        </w:rPr>
        <w:t>.</w:t>
      </w:r>
      <w:r w:rsidR="00D64594">
        <w:rPr>
          <w:rFonts w:asciiTheme="minorHAnsi" w:hAnsiTheme="minorHAnsi" w:cstheme="minorHAnsi"/>
        </w:rPr>
        <w:t>,</w:t>
      </w:r>
      <w:proofErr w:type="gramEnd"/>
      <w:r w:rsidRPr="004C66D0">
        <w:rPr>
          <w:rFonts w:asciiTheme="minorHAnsi" w:hAnsiTheme="minorHAnsi" w:cstheme="minorHAnsi"/>
        </w:rPr>
        <w:t xml:space="preserve"> 40. pont.</w:t>
      </w:r>
    </w:p>
  </w:footnote>
  <w:footnote w:id="11">
    <w:p w:rsidR="00116453" w:rsidRDefault="00116453" w:rsidP="00D645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C76480">
        <w:t>Tribunal</w:t>
      </w:r>
      <w:proofErr w:type="spellEnd"/>
      <w:r w:rsidR="00C76480">
        <w:t xml:space="preserve"> de </w:t>
      </w:r>
      <w:proofErr w:type="spellStart"/>
      <w:r w:rsidR="00C76480">
        <w:t>grande</w:t>
      </w:r>
      <w:proofErr w:type="spellEnd"/>
      <w:r w:rsidR="00C76480">
        <w:t xml:space="preserve"> </w:t>
      </w:r>
      <w:proofErr w:type="spellStart"/>
      <w:r w:rsidR="00C76480">
        <w:t>instance</w:t>
      </w:r>
      <w:proofErr w:type="spellEnd"/>
      <w:r w:rsidR="00C76480">
        <w:t xml:space="preserve"> de Paris, 19 </w:t>
      </w:r>
      <w:proofErr w:type="spellStart"/>
      <w:r w:rsidR="00C76480">
        <w:t>janvier</w:t>
      </w:r>
      <w:proofErr w:type="spellEnd"/>
      <w:r w:rsidR="00C76480">
        <w:t xml:space="preserve"> 1977, </w:t>
      </w:r>
      <w:proofErr w:type="spellStart"/>
      <w:r w:rsidR="00C76480">
        <w:t>Revue</w:t>
      </w:r>
      <w:proofErr w:type="spellEnd"/>
      <w:r w:rsidR="00C76480">
        <w:t xml:space="preserve"> </w:t>
      </w:r>
      <w:proofErr w:type="spellStart"/>
      <w:r w:rsidR="00C76480">
        <w:t>international</w:t>
      </w:r>
      <w:proofErr w:type="spellEnd"/>
      <w:r w:rsidR="00C76480">
        <w:t xml:space="preserve"> du </w:t>
      </w:r>
      <w:proofErr w:type="spellStart"/>
      <w:r w:rsidR="00C76480">
        <w:t>droit</w:t>
      </w:r>
      <w:proofErr w:type="spellEnd"/>
      <w:r w:rsidR="00C76480">
        <w:t xml:space="preserve"> d’</w:t>
      </w:r>
      <w:proofErr w:type="spellStart"/>
      <w:r w:rsidR="00C76480">
        <w:t>auteur</w:t>
      </w:r>
      <w:proofErr w:type="spellEnd"/>
      <w:r w:rsidR="00C76480">
        <w:t xml:space="preserve">, 1977, </w:t>
      </w:r>
      <w:proofErr w:type="spellStart"/>
      <w:r w:rsidR="00C76480">
        <w:t>n°</w:t>
      </w:r>
      <w:proofErr w:type="spellEnd"/>
      <w:r w:rsidR="00C76480">
        <w:t> 92, 167-169 old.</w:t>
      </w:r>
    </w:p>
  </w:footnote>
  <w:footnote w:id="12">
    <w:p w:rsidR="00116453" w:rsidRDefault="00116453" w:rsidP="00D645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656DDE">
        <w:t>Tribunal</w:t>
      </w:r>
      <w:proofErr w:type="spellEnd"/>
      <w:r w:rsidR="00656DDE">
        <w:t xml:space="preserve"> de </w:t>
      </w:r>
      <w:proofErr w:type="spellStart"/>
      <w:r w:rsidR="00656DDE">
        <w:t>grande</w:t>
      </w:r>
      <w:proofErr w:type="spellEnd"/>
      <w:r w:rsidR="00656DDE">
        <w:t xml:space="preserve"> </w:t>
      </w:r>
      <w:proofErr w:type="spellStart"/>
      <w:r w:rsidR="00656DDE">
        <w:t>instance</w:t>
      </w:r>
      <w:proofErr w:type="spellEnd"/>
      <w:r w:rsidR="00656DDE">
        <w:t xml:space="preserve"> de Paris, 3 </w:t>
      </w:r>
      <w:proofErr w:type="spellStart"/>
      <w:r w:rsidR="00656DDE">
        <w:t>janvier</w:t>
      </w:r>
      <w:proofErr w:type="spellEnd"/>
      <w:r w:rsidR="00656DDE">
        <w:t xml:space="preserve"> 1978, </w:t>
      </w:r>
      <w:r w:rsidR="00656DDE">
        <w:rPr>
          <w:rStyle w:val="Kiemels"/>
        </w:rPr>
        <w:t>D.</w:t>
      </w:r>
      <w:r w:rsidR="00656DDE">
        <w:t>, 1979, 99</w:t>
      </w:r>
      <w:r w:rsidR="00D64594">
        <w:t xml:space="preserve"> old. </w:t>
      </w:r>
    </w:p>
  </w:footnote>
  <w:footnote w:id="13">
    <w:p w:rsidR="00A12B20" w:rsidRDefault="00A12B20" w:rsidP="00D6459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D64594">
        <w:t xml:space="preserve">Az eredeti francia szöveg: </w:t>
      </w:r>
      <w:r w:rsidR="00CF51D9">
        <w:t xml:space="preserve"> « </w:t>
      </w:r>
      <w:proofErr w:type="spellStart"/>
      <w:r w:rsidR="00CF51D9">
        <w:t>lorsque</w:t>
      </w:r>
      <w:proofErr w:type="spellEnd"/>
      <w:r w:rsidR="00CF51D9">
        <w:t xml:space="preserve"> l'</w:t>
      </w:r>
      <w:proofErr w:type="spellStart"/>
      <w:r w:rsidR="00CF51D9">
        <w:t>œuvre</w:t>
      </w:r>
      <w:proofErr w:type="spellEnd"/>
      <w:r w:rsidR="00CF51D9">
        <w:t xml:space="preserve"> </w:t>
      </w:r>
      <w:proofErr w:type="gramStart"/>
      <w:r w:rsidR="00CF51D9">
        <w:t>a</w:t>
      </w:r>
      <w:proofErr w:type="gramEnd"/>
      <w:r w:rsidR="00CF51D9">
        <w:t xml:space="preserve"> été </w:t>
      </w:r>
      <w:proofErr w:type="spellStart"/>
      <w:r w:rsidR="00CF51D9">
        <w:t>divulguée</w:t>
      </w:r>
      <w:proofErr w:type="spellEnd"/>
      <w:r w:rsidR="00CF51D9">
        <w:t>, l'</w:t>
      </w:r>
      <w:proofErr w:type="spellStart"/>
      <w:r w:rsidR="00CF51D9">
        <w:t>auteur</w:t>
      </w:r>
      <w:proofErr w:type="spellEnd"/>
      <w:r w:rsidR="00CF51D9">
        <w:t xml:space="preserve"> ne </w:t>
      </w:r>
      <w:proofErr w:type="spellStart"/>
      <w:r w:rsidR="00CF51D9">
        <w:t>peut</w:t>
      </w:r>
      <w:proofErr w:type="spellEnd"/>
      <w:r w:rsidR="00CF51D9">
        <w:t xml:space="preserve"> </w:t>
      </w:r>
      <w:proofErr w:type="spellStart"/>
      <w:r w:rsidR="00CF51D9">
        <w:t>interdire</w:t>
      </w:r>
      <w:proofErr w:type="spellEnd"/>
      <w:r w:rsidR="00CF51D9">
        <w:t xml:space="preserve"> : (...) la </w:t>
      </w:r>
      <w:proofErr w:type="spellStart"/>
      <w:r w:rsidR="00CF51D9">
        <w:t>parodie</w:t>
      </w:r>
      <w:proofErr w:type="spellEnd"/>
      <w:r w:rsidR="00CF51D9">
        <w:t xml:space="preserve">, le </w:t>
      </w:r>
      <w:proofErr w:type="spellStart"/>
      <w:r w:rsidR="00CF51D9">
        <w:t>pastiche</w:t>
      </w:r>
      <w:proofErr w:type="spellEnd"/>
      <w:r w:rsidR="00CF51D9">
        <w:t xml:space="preserve"> et la </w:t>
      </w:r>
      <w:proofErr w:type="spellStart"/>
      <w:r w:rsidR="00CF51D9">
        <w:t>caricature</w:t>
      </w:r>
      <w:proofErr w:type="spellEnd"/>
      <w:r w:rsidR="00CF51D9">
        <w:t xml:space="preserve">, </w:t>
      </w:r>
      <w:proofErr w:type="spellStart"/>
      <w:r w:rsidR="00CF51D9">
        <w:t>compte</w:t>
      </w:r>
      <w:proofErr w:type="spellEnd"/>
      <w:r w:rsidR="00CF51D9">
        <w:t xml:space="preserve"> </w:t>
      </w:r>
      <w:proofErr w:type="spellStart"/>
      <w:r w:rsidR="00CF51D9">
        <w:t>tenu</w:t>
      </w:r>
      <w:proofErr w:type="spellEnd"/>
      <w:r w:rsidR="00CF51D9">
        <w:t xml:space="preserve"> des </w:t>
      </w:r>
      <w:proofErr w:type="spellStart"/>
      <w:r w:rsidR="00CF51D9">
        <w:t>lois</w:t>
      </w:r>
      <w:proofErr w:type="spellEnd"/>
      <w:r w:rsidR="00CF51D9">
        <w:t xml:space="preserve"> du </w:t>
      </w:r>
      <w:proofErr w:type="spellStart"/>
      <w:r w:rsidR="00CF51D9">
        <w:t>genre</w:t>
      </w:r>
      <w:proofErr w:type="spellEnd"/>
      <w:r w:rsidR="00CF51D9">
        <w:t xml:space="preserve"> ». </w:t>
      </w:r>
      <w:r>
        <w:t xml:space="preserve">la </w:t>
      </w:r>
      <w:proofErr w:type="spellStart"/>
      <w:r>
        <w:t>parodie</w:t>
      </w:r>
      <w:proofErr w:type="spellEnd"/>
      <w:r>
        <w:t xml:space="preserve">, le </w:t>
      </w:r>
      <w:proofErr w:type="spellStart"/>
      <w:r>
        <w:t>pastiche</w:t>
      </w:r>
      <w:proofErr w:type="spellEnd"/>
      <w:r>
        <w:t xml:space="preserve"> et la </w:t>
      </w:r>
      <w:proofErr w:type="spellStart"/>
      <w:r>
        <w:t>caricature</w:t>
      </w:r>
      <w:proofErr w:type="spellEnd"/>
      <w:r>
        <w:t xml:space="preserve">,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tenu</w:t>
      </w:r>
      <w:proofErr w:type="spellEnd"/>
      <w:r>
        <w:t xml:space="preserve"> des </w:t>
      </w:r>
      <w:proofErr w:type="spellStart"/>
      <w:r>
        <w:t>lois</w:t>
      </w:r>
      <w:proofErr w:type="spellEnd"/>
      <w:r>
        <w:t xml:space="preserve"> du </w:t>
      </w:r>
      <w:proofErr w:type="spellStart"/>
      <w:r>
        <w:t>genre</w:t>
      </w:r>
      <w:proofErr w:type="spellEnd"/>
      <w:r>
        <w:t>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7B7"/>
    <w:multiLevelType w:val="multilevel"/>
    <w:tmpl w:val="B67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799C"/>
    <w:multiLevelType w:val="multilevel"/>
    <w:tmpl w:val="7400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D6BAC"/>
    <w:multiLevelType w:val="multilevel"/>
    <w:tmpl w:val="EEA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30E78"/>
    <w:multiLevelType w:val="multilevel"/>
    <w:tmpl w:val="A85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65D41"/>
    <w:multiLevelType w:val="multilevel"/>
    <w:tmpl w:val="ABB8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83447"/>
    <w:multiLevelType w:val="multilevel"/>
    <w:tmpl w:val="866C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A27AA"/>
    <w:multiLevelType w:val="hybridMultilevel"/>
    <w:tmpl w:val="B9A471D4"/>
    <w:lvl w:ilvl="0" w:tplc="59128830">
      <w:start w:val="1"/>
      <w:numFmt w:val="decimal"/>
      <w:lvlText w:val="%1."/>
      <w:lvlJc w:val="left"/>
      <w:pPr>
        <w:ind w:left="700" w:hanging="710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164CE07E">
      <w:numFmt w:val="bullet"/>
      <w:lvlText w:val="•"/>
      <w:lvlJc w:val="left"/>
      <w:pPr>
        <w:ind w:left="1614" w:hanging="710"/>
      </w:pPr>
      <w:rPr>
        <w:rFonts w:hint="default"/>
        <w:lang w:val="en-US" w:eastAsia="en-US" w:bidi="en-US"/>
      </w:rPr>
    </w:lvl>
    <w:lvl w:ilvl="2" w:tplc="CF046E5A">
      <w:numFmt w:val="bullet"/>
      <w:lvlText w:val="•"/>
      <w:lvlJc w:val="left"/>
      <w:pPr>
        <w:ind w:left="2529" w:hanging="710"/>
      </w:pPr>
      <w:rPr>
        <w:rFonts w:hint="default"/>
        <w:lang w:val="en-US" w:eastAsia="en-US" w:bidi="en-US"/>
      </w:rPr>
    </w:lvl>
    <w:lvl w:ilvl="3" w:tplc="DD7425E6">
      <w:numFmt w:val="bullet"/>
      <w:lvlText w:val="•"/>
      <w:lvlJc w:val="left"/>
      <w:pPr>
        <w:ind w:left="3444" w:hanging="710"/>
      </w:pPr>
      <w:rPr>
        <w:rFonts w:hint="default"/>
        <w:lang w:val="en-US" w:eastAsia="en-US" w:bidi="en-US"/>
      </w:rPr>
    </w:lvl>
    <w:lvl w:ilvl="4" w:tplc="30AEEC00">
      <w:numFmt w:val="bullet"/>
      <w:lvlText w:val="•"/>
      <w:lvlJc w:val="left"/>
      <w:pPr>
        <w:ind w:left="4359" w:hanging="710"/>
      </w:pPr>
      <w:rPr>
        <w:rFonts w:hint="default"/>
        <w:lang w:val="en-US" w:eastAsia="en-US" w:bidi="en-US"/>
      </w:rPr>
    </w:lvl>
    <w:lvl w:ilvl="5" w:tplc="6CF2135C">
      <w:numFmt w:val="bullet"/>
      <w:lvlText w:val="•"/>
      <w:lvlJc w:val="left"/>
      <w:pPr>
        <w:ind w:left="5273" w:hanging="710"/>
      </w:pPr>
      <w:rPr>
        <w:rFonts w:hint="default"/>
        <w:lang w:val="en-US" w:eastAsia="en-US" w:bidi="en-US"/>
      </w:rPr>
    </w:lvl>
    <w:lvl w:ilvl="6" w:tplc="1D38453A">
      <w:numFmt w:val="bullet"/>
      <w:lvlText w:val="•"/>
      <w:lvlJc w:val="left"/>
      <w:pPr>
        <w:ind w:left="6188" w:hanging="710"/>
      </w:pPr>
      <w:rPr>
        <w:rFonts w:hint="default"/>
        <w:lang w:val="en-US" w:eastAsia="en-US" w:bidi="en-US"/>
      </w:rPr>
    </w:lvl>
    <w:lvl w:ilvl="7" w:tplc="478C2BCA">
      <w:numFmt w:val="bullet"/>
      <w:lvlText w:val="•"/>
      <w:lvlJc w:val="left"/>
      <w:pPr>
        <w:ind w:left="7103" w:hanging="710"/>
      </w:pPr>
      <w:rPr>
        <w:rFonts w:hint="default"/>
        <w:lang w:val="en-US" w:eastAsia="en-US" w:bidi="en-US"/>
      </w:rPr>
    </w:lvl>
    <w:lvl w:ilvl="8" w:tplc="6AFE15BC">
      <w:numFmt w:val="bullet"/>
      <w:lvlText w:val="•"/>
      <w:lvlJc w:val="left"/>
      <w:pPr>
        <w:ind w:left="8018" w:hanging="710"/>
      </w:pPr>
      <w:rPr>
        <w:rFonts w:hint="default"/>
        <w:lang w:val="en-US" w:eastAsia="en-US" w:bidi="en-US"/>
      </w:rPr>
    </w:lvl>
  </w:abstractNum>
  <w:abstractNum w:abstractNumId="7">
    <w:nsid w:val="6CFA11A1"/>
    <w:multiLevelType w:val="multilevel"/>
    <w:tmpl w:val="F8F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25838"/>
    <w:multiLevelType w:val="multilevel"/>
    <w:tmpl w:val="30B2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B3"/>
    <w:rsid w:val="00002CB8"/>
    <w:rsid w:val="00007558"/>
    <w:rsid w:val="00016757"/>
    <w:rsid w:val="0002037E"/>
    <w:rsid w:val="0003018F"/>
    <w:rsid w:val="00047608"/>
    <w:rsid w:val="00047F90"/>
    <w:rsid w:val="00055100"/>
    <w:rsid w:val="000723A4"/>
    <w:rsid w:val="00072FF9"/>
    <w:rsid w:val="000764EB"/>
    <w:rsid w:val="000856F2"/>
    <w:rsid w:val="000A642F"/>
    <w:rsid w:val="000B2197"/>
    <w:rsid w:val="000C47EE"/>
    <w:rsid w:val="000D42D9"/>
    <w:rsid w:val="000E5E4E"/>
    <w:rsid w:val="000E6B6B"/>
    <w:rsid w:val="000F0875"/>
    <w:rsid w:val="001103C5"/>
    <w:rsid w:val="00113C3F"/>
    <w:rsid w:val="00116453"/>
    <w:rsid w:val="00125C93"/>
    <w:rsid w:val="00142E6C"/>
    <w:rsid w:val="00144C16"/>
    <w:rsid w:val="00146956"/>
    <w:rsid w:val="00150707"/>
    <w:rsid w:val="00167F6B"/>
    <w:rsid w:val="0017052C"/>
    <w:rsid w:val="00184094"/>
    <w:rsid w:val="00195B20"/>
    <w:rsid w:val="001A1296"/>
    <w:rsid w:val="001A4D7C"/>
    <w:rsid w:val="001A6D3B"/>
    <w:rsid w:val="001A730C"/>
    <w:rsid w:val="001A7C52"/>
    <w:rsid w:val="001C0432"/>
    <w:rsid w:val="001E51AD"/>
    <w:rsid w:val="001F2A44"/>
    <w:rsid w:val="002238F1"/>
    <w:rsid w:val="002503EF"/>
    <w:rsid w:val="002768D2"/>
    <w:rsid w:val="00291364"/>
    <w:rsid w:val="00293B45"/>
    <w:rsid w:val="002A2FF3"/>
    <w:rsid w:val="002A6175"/>
    <w:rsid w:val="002B3D33"/>
    <w:rsid w:val="002B6A9B"/>
    <w:rsid w:val="002C0B7E"/>
    <w:rsid w:val="002D1613"/>
    <w:rsid w:val="002F3B6C"/>
    <w:rsid w:val="002F72E1"/>
    <w:rsid w:val="003024B6"/>
    <w:rsid w:val="003137BA"/>
    <w:rsid w:val="003236B6"/>
    <w:rsid w:val="00323E2F"/>
    <w:rsid w:val="00331074"/>
    <w:rsid w:val="00340DD8"/>
    <w:rsid w:val="00345210"/>
    <w:rsid w:val="00346076"/>
    <w:rsid w:val="00346F05"/>
    <w:rsid w:val="00350D33"/>
    <w:rsid w:val="0035150A"/>
    <w:rsid w:val="003539A4"/>
    <w:rsid w:val="00390318"/>
    <w:rsid w:val="0039148F"/>
    <w:rsid w:val="003A3C68"/>
    <w:rsid w:val="003A5C6F"/>
    <w:rsid w:val="003B60FF"/>
    <w:rsid w:val="003C5CE2"/>
    <w:rsid w:val="003C7937"/>
    <w:rsid w:val="003D1B0B"/>
    <w:rsid w:val="003D54B7"/>
    <w:rsid w:val="003E06D9"/>
    <w:rsid w:val="003E641F"/>
    <w:rsid w:val="003F6460"/>
    <w:rsid w:val="004045F7"/>
    <w:rsid w:val="00405E51"/>
    <w:rsid w:val="00440353"/>
    <w:rsid w:val="0044128F"/>
    <w:rsid w:val="0045264D"/>
    <w:rsid w:val="004641B7"/>
    <w:rsid w:val="004978AC"/>
    <w:rsid w:val="00497E1D"/>
    <w:rsid w:val="004B3602"/>
    <w:rsid w:val="004B7166"/>
    <w:rsid w:val="004C4E65"/>
    <w:rsid w:val="004C5842"/>
    <w:rsid w:val="004C66D0"/>
    <w:rsid w:val="004F5518"/>
    <w:rsid w:val="0050125C"/>
    <w:rsid w:val="00513E3E"/>
    <w:rsid w:val="00526693"/>
    <w:rsid w:val="00545780"/>
    <w:rsid w:val="0055283B"/>
    <w:rsid w:val="00562E0A"/>
    <w:rsid w:val="00595D95"/>
    <w:rsid w:val="005D42E9"/>
    <w:rsid w:val="005E3015"/>
    <w:rsid w:val="00612E1A"/>
    <w:rsid w:val="00621E49"/>
    <w:rsid w:val="00640C67"/>
    <w:rsid w:val="00654E09"/>
    <w:rsid w:val="006564C9"/>
    <w:rsid w:val="00656DDE"/>
    <w:rsid w:val="006626AA"/>
    <w:rsid w:val="00670B37"/>
    <w:rsid w:val="00675F94"/>
    <w:rsid w:val="00683060"/>
    <w:rsid w:val="00696B5B"/>
    <w:rsid w:val="006C552E"/>
    <w:rsid w:val="006D1906"/>
    <w:rsid w:val="006D51BB"/>
    <w:rsid w:val="00702B94"/>
    <w:rsid w:val="0070621C"/>
    <w:rsid w:val="0072088E"/>
    <w:rsid w:val="00730B60"/>
    <w:rsid w:val="00744EEA"/>
    <w:rsid w:val="00764CAC"/>
    <w:rsid w:val="007743A9"/>
    <w:rsid w:val="00782B1A"/>
    <w:rsid w:val="007845FB"/>
    <w:rsid w:val="00796114"/>
    <w:rsid w:val="007C52CF"/>
    <w:rsid w:val="007C7105"/>
    <w:rsid w:val="007D30EC"/>
    <w:rsid w:val="007E0E62"/>
    <w:rsid w:val="007E6446"/>
    <w:rsid w:val="007F26F0"/>
    <w:rsid w:val="00803E89"/>
    <w:rsid w:val="008106DC"/>
    <w:rsid w:val="0081131A"/>
    <w:rsid w:val="00821968"/>
    <w:rsid w:val="008274E8"/>
    <w:rsid w:val="00842282"/>
    <w:rsid w:val="00842729"/>
    <w:rsid w:val="00842F42"/>
    <w:rsid w:val="00850F1C"/>
    <w:rsid w:val="00855B78"/>
    <w:rsid w:val="00856D22"/>
    <w:rsid w:val="00860790"/>
    <w:rsid w:val="008738A5"/>
    <w:rsid w:val="00877DC9"/>
    <w:rsid w:val="00892FDC"/>
    <w:rsid w:val="00897888"/>
    <w:rsid w:val="008A1400"/>
    <w:rsid w:val="008A7099"/>
    <w:rsid w:val="008B0841"/>
    <w:rsid w:val="008D2B69"/>
    <w:rsid w:val="008E527C"/>
    <w:rsid w:val="008F1C1F"/>
    <w:rsid w:val="008F1C9C"/>
    <w:rsid w:val="00923E53"/>
    <w:rsid w:val="009255F5"/>
    <w:rsid w:val="00940C72"/>
    <w:rsid w:val="009769C7"/>
    <w:rsid w:val="009913CB"/>
    <w:rsid w:val="009A2E37"/>
    <w:rsid w:val="009B3086"/>
    <w:rsid w:val="009F4924"/>
    <w:rsid w:val="00A05C40"/>
    <w:rsid w:val="00A06208"/>
    <w:rsid w:val="00A12B20"/>
    <w:rsid w:val="00A2472D"/>
    <w:rsid w:val="00A27E2E"/>
    <w:rsid w:val="00A34ED5"/>
    <w:rsid w:val="00A429FE"/>
    <w:rsid w:val="00A47112"/>
    <w:rsid w:val="00A5125B"/>
    <w:rsid w:val="00A6253E"/>
    <w:rsid w:val="00AB2B0D"/>
    <w:rsid w:val="00AB394D"/>
    <w:rsid w:val="00AD3269"/>
    <w:rsid w:val="00AD5ED7"/>
    <w:rsid w:val="00AD628D"/>
    <w:rsid w:val="00B05E71"/>
    <w:rsid w:val="00B076C1"/>
    <w:rsid w:val="00B11E55"/>
    <w:rsid w:val="00B211ED"/>
    <w:rsid w:val="00B328E7"/>
    <w:rsid w:val="00B55DAD"/>
    <w:rsid w:val="00B6413D"/>
    <w:rsid w:val="00B66424"/>
    <w:rsid w:val="00B71A85"/>
    <w:rsid w:val="00B741D5"/>
    <w:rsid w:val="00B9116F"/>
    <w:rsid w:val="00BA20C7"/>
    <w:rsid w:val="00BA2A64"/>
    <w:rsid w:val="00BC1578"/>
    <w:rsid w:val="00C07EB5"/>
    <w:rsid w:val="00C1133B"/>
    <w:rsid w:val="00C126BE"/>
    <w:rsid w:val="00C272CD"/>
    <w:rsid w:val="00C32DB3"/>
    <w:rsid w:val="00C4490D"/>
    <w:rsid w:val="00C476D2"/>
    <w:rsid w:val="00C613AE"/>
    <w:rsid w:val="00C63D26"/>
    <w:rsid w:val="00C6461C"/>
    <w:rsid w:val="00C76480"/>
    <w:rsid w:val="00C83CCA"/>
    <w:rsid w:val="00C90B95"/>
    <w:rsid w:val="00CB0F5E"/>
    <w:rsid w:val="00CC0DF3"/>
    <w:rsid w:val="00CC621D"/>
    <w:rsid w:val="00CD52E7"/>
    <w:rsid w:val="00CF2CD6"/>
    <w:rsid w:val="00CF51D9"/>
    <w:rsid w:val="00D01202"/>
    <w:rsid w:val="00D12D49"/>
    <w:rsid w:val="00D157AC"/>
    <w:rsid w:val="00D31C98"/>
    <w:rsid w:val="00D64594"/>
    <w:rsid w:val="00D7723F"/>
    <w:rsid w:val="00D874F1"/>
    <w:rsid w:val="00DC4862"/>
    <w:rsid w:val="00DD2393"/>
    <w:rsid w:val="00DD5AE7"/>
    <w:rsid w:val="00DF39F9"/>
    <w:rsid w:val="00E00F65"/>
    <w:rsid w:val="00E12511"/>
    <w:rsid w:val="00E24508"/>
    <w:rsid w:val="00E264D9"/>
    <w:rsid w:val="00E34E70"/>
    <w:rsid w:val="00E36B4D"/>
    <w:rsid w:val="00E464BE"/>
    <w:rsid w:val="00E5353E"/>
    <w:rsid w:val="00E5624C"/>
    <w:rsid w:val="00E74DFC"/>
    <w:rsid w:val="00E84DC3"/>
    <w:rsid w:val="00E904B3"/>
    <w:rsid w:val="00EA0D6B"/>
    <w:rsid w:val="00EA0E63"/>
    <w:rsid w:val="00EA1827"/>
    <w:rsid w:val="00EA56E6"/>
    <w:rsid w:val="00EB03B6"/>
    <w:rsid w:val="00EC071F"/>
    <w:rsid w:val="00EC7602"/>
    <w:rsid w:val="00ED4B38"/>
    <w:rsid w:val="00EF7F4F"/>
    <w:rsid w:val="00F03097"/>
    <w:rsid w:val="00F06BEA"/>
    <w:rsid w:val="00F076E8"/>
    <w:rsid w:val="00F1623A"/>
    <w:rsid w:val="00F1764A"/>
    <w:rsid w:val="00F2390E"/>
    <w:rsid w:val="00F34E76"/>
    <w:rsid w:val="00F7154D"/>
    <w:rsid w:val="00F73910"/>
    <w:rsid w:val="00F7455B"/>
    <w:rsid w:val="00F8739C"/>
    <w:rsid w:val="00F87FE2"/>
    <w:rsid w:val="00F9432B"/>
    <w:rsid w:val="00FA59C9"/>
    <w:rsid w:val="00FB7780"/>
    <w:rsid w:val="00FC0CBC"/>
    <w:rsid w:val="00FC639B"/>
    <w:rsid w:val="00FD512D"/>
    <w:rsid w:val="00FD7B0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B94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link w:val="Cmsor1Char"/>
    <w:uiPriority w:val="9"/>
    <w:qFormat/>
    <w:rsid w:val="00F73910"/>
    <w:pPr>
      <w:widowControl w:val="0"/>
      <w:spacing w:before="4"/>
      <w:ind w:left="197"/>
      <w:outlineLvl w:val="0"/>
    </w:pPr>
    <w:rPr>
      <w:rFonts w:ascii="Times New Roman" w:eastAsia="Times New Roman" w:hAnsi="Times New Roman" w:cstheme="minorBidi"/>
      <w:sz w:val="26"/>
      <w:szCs w:val="26"/>
      <w:lang w:val="en-US"/>
    </w:rPr>
  </w:style>
  <w:style w:type="paragraph" w:styleId="Cmsor2">
    <w:name w:val="heading 2"/>
    <w:basedOn w:val="Norml"/>
    <w:link w:val="Cmsor2Char"/>
    <w:uiPriority w:val="9"/>
    <w:qFormat/>
    <w:rsid w:val="00860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3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F73910"/>
    <w:pPr>
      <w:widowControl w:val="0"/>
    </w:pPr>
    <w:rPr>
      <w:rFonts w:asciiTheme="minorHAnsi" w:hAnsiTheme="minorHAnsi" w:cstheme="minorBidi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F73910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39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zvegtrzs">
    <w:name w:val="Body Text"/>
    <w:basedOn w:val="Norml"/>
    <w:link w:val="SzvegtrzsChar"/>
    <w:uiPriority w:val="1"/>
    <w:unhideWhenUsed/>
    <w:qFormat/>
    <w:rsid w:val="00F73910"/>
    <w:pPr>
      <w:widowControl w:val="0"/>
      <w:ind w:left="110"/>
    </w:pPr>
    <w:rPr>
      <w:rFonts w:ascii="Times New Roman" w:eastAsia="Times New Roman" w:hAnsi="Times New Roman" w:cstheme="minorBidi"/>
      <w:sz w:val="25"/>
      <w:szCs w:val="25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F73910"/>
    <w:rPr>
      <w:rFonts w:ascii="Times New Roman" w:eastAsia="Times New Roman" w:hAnsi="Times New Roman"/>
      <w:sz w:val="25"/>
      <w:szCs w:val="25"/>
      <w:lang w:val="en-US"/>
    </w:rPr>
  </w:style>
  <w:style w:type="paragraph" w:styleId="Alcm">
    <w:name w:val="Subtitle"/>
    <w:basedOn w:val="Norml"/>
    <w:next w:val="Norml"/>
    <w:link w:val="AlcmChar"/>
    <w:qFormat/>
    <w:rsid w:val="00F73910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ar-SA"/>
    </w:rPr>
  </w:style>
  <w:style w:type="character" w:customStyle="1" w:styleId="AlcmChar">
    <w:name w:val="Alcím Char"/>
    <w:basedOn w:val="Bekezdsalapbettpusa"/>
    <w:link w:val="Alcm"/>
    <w:rsid w:val="00F73910"/>
    <w:rPr>
      <w:rFonts w:ascii="Cambria" w:eastAsia="Times New Roman" w:hAnsi="Cambria" w:cs="Times New Roman"/>
      <w:sz w:val="24"/>
      <w:szCs w:val="24"/>
      <w:lang w:val="ru-RU" w:eastAsia="ar-SA"/>
    </w:rPr>
  </w:style>
  <w:style w:type="paragraph" w:styleId="Nincstrkz">
    <w:name w:val="No Spacing"/>
    <w:qFormat/>
    <w:rsid w:val="00F739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aszerbekezds">
    <w:name w:val="List Paragraph"/>
    <w:basedOn w:val="Norml"/>
    <w:uiPriority w:val="1"/>
    <w:qFormat/>
    <w:rsid w:val="00F73910"/>
    <w:pPr>
      <w:widowControl w:val="0"/>
    </w:pPr>
    <w:rPr>
      <w:rFonts w:asciiTheme="minorHAnsi" w:hAnsiTheme="minorHAnsi" w:cstheme="minorBidi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157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1578"/>
    <w:rPr>
      <w:rFonts w:ascii="Calibri" w:hAnsi="Calibri" w:cs="Calibri"/>
      <w:sz w:val="20"/>
      <w:szCs w:val="20"/>
    </w:rPr>
  </w:style>
  <w:style w:type="character" w:styleId="Lbjegyzet-hivatkozs">
    <w:name w:val="footnote reference"/>
    <w:aliases w:val="fr"/>
    <w:basedOn w:val="Bekezdsalapbettpusa"/>
    <w:uiPriority w:val="99"/>
    <w:semiHidden/>
    <w:unhideWhenUsed/>
    <w:rsid w:val="00BC157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26693"/>
    <w:rPr>
      <w:color w:val="0000FF" w:themeColor="hyperlink"/>
      <w:u w:val="single"/>
    </w:rPr>
  </w:style>
  <w:style w:type="paragraph" w:customStyle="1" w:styleId="c08dispositif">
    <w:name w:val="c08dispositif"/>
    <w:basedOn w:val="Norml"/>
    <w:rsid w:val="00195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32dispositifmarge1">
    <w:name w:val="c32dispositifmarge1"/>
    <w:basedOn w:val="Norml"/>
    <w:rsid w:val="00195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6079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creen-reader-text">
    <w:name w:val="screen-reader-text"/>
    <w:basedOn w:val="Bekezdsalapbettpusa"/>
    <w:rsid w:val="00860790"/>
  </w:style>
  <w:style w:type="character" w:customStyle="1" w:styleId="byline">
    <w:name w:val="byline"/>
    <w:basedOn w:val="Bekezdsalapbettpusa"/>
    <w:rsid w:val="00860790"/>
  </w:style>
  <w:style w:type="character" w:customStyle="1" w:styleId="author">
    <w:name w:val="author"/>
    <w:basedOn w:val="Bekezdsalapbettpusa"/>
    <w:rsid w:val="00860790"/>
  </w:style>
  <w:style w:type="character" w:customStyle="1" w:styleId="sep">
    <w:name w:val="sep"/>
    <w:basedOn w:val="Bekezdsalapbettpusa"/>
    <w:rsid w:val="00860790"/>
  </w:style>
  <w:style w:type="character" w:customStyle="1" w:styleId="posted-on">
    <w:name w:val="posted-on"/>
    <w:basedOn w:val="Bekezdsalapbettpusa"/>
    <w:rsid w:val="00860790"/>
  </w:style>
  <w:style w:type="character" w:customStyle="1" w:styleId="comments-link">
    <w:name w:val="comments-link"/>
    <w:basedOn w:val="Bekezdsalapbettpusa"/>
    <w:rsid w:val="00860790"/>
  </w:style>
  <w:style w:type="paragraph" w:styleId="NormlWeb">
    <w:name w:val="Normal (Web)"/>
    <w:basedOn w:val="Norml"/>
    <w:uiPriority w:val="99"/>
    <w:unhideWhenUsed/>
    <w:rsid w:val="008607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60790"/>
    <w:rPr>
      <w:i/>
      <w:iCs/>
    </w:rPr>
  </w:style>
  <w:style w:type="character" w:styleId="Kiemels2">
    <w:name w:val="Strong"/>
    <w:basedOn w:val="Bekezdsalapbettpusa"/>
    <w:uiPriority w:val="22"/>
    <w:qFormat/>
    <w:rsid w:val="0086079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7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B94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link w:val="Cmsor1Char"/>
    <w:uiPriority w:val="9"/>
    <w:qFormat/>
    <w:rsid w:val="00F73910"/>
    <w:pPr>
      <w:widowControl w:val="0"/>
      <w:spacing w:before="4"/>
      <w:ind w:left="197"/>
      <w:outlineLvl w:val="0"/>
    </w:pPr>
    <w:rPr>
      <w:rFonts w:ascii="Times New Roman" w:eastAsia="Times New Roman" w:hAnsi="Times New Roman" w:cstheme="minorBidi"/>
      <w:sz w:val="26"/>
      <w:szCs w:val="26"/>
      <w:lang w:val="en-US"/>
    </w:rPr>
  </w:style>
  <w:style w:type="paragraph" w:styleId="Cmsor2">
    <w:name w:val="heading 2"/>
    <w:basedOn w:val="Norml"/>
    <w:link w:val="Cmsor2Char"/>
    <w:uiPriority w:val="9"/>
    <w:qFormat/>
    <w:rsid w:val="00860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3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F73910"/>
    <w:pPr>
      <w:widowControl w:val="0"/>
    </w:pPr>
    <w:rPr>
      <w:rFonts w:asciiTheme="minorHAnsi" w:hAnsiTheme="minorHAnsi" w:cstheme="minorBidi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F73910"/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391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zvegtrzs">
    <w:name w:val="Body Text"/>
    <w:basedOn w:val="Norml"/>
    <w:link w:val="SzvegtrzsChar"/>
    <w:uiPriority w:val="1"/>
    <w:unhideWhenUsed/>
    <w:qFormat/>
    <w:rsid w:val="00F73910"/>
    <w:pPr>
      <w:widowControl w:val="0"/>
      <w:ind w:left="110"/>
    </w:pPr>
    <w:rPr>
      <w:rFonts w:ascii="Times New Roman" w:eastAsia="Times New Roman" w:hAnsi="Times New Roman" w:cstheme="minorBidi"/>
      <w:sz w:val="25"/>
      <w:szCs w:val="25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F73910"/>
    <w:rPr>
      <w:rFonts w:ascii="Times New Roman" w:eastAsia="Times New Roman" w:hAnsi="Times New Roman"/>
      <w:sz w:val="25"/>
      <w:szCs w:val="25"/>
      <w:lang w:val="en-US"/>
    </w:rPr>
  </w:style>
  <w:style w:type="paragraph" w:styleId="Alcm">
    <w:name w:val="Subtitle"/>
    <w:basedOn w:val="Norml"/>
    <w:next w:val="Norml"/>
    <w:link w:val="AlcmChar"/>
    <w:qFormat/>
    <w:rsid w:val="00F73910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ar-SA"/>
    </w:rPr>
  </w:style>
  <w:style w:type="character" w:customStyle="1" w:styleId="AlcmChar">
    <w:name w:val="Alcím Char"/>
    <w:basedOn w:val="Bekezdsalapbettpusa"/>
    <w:link w:val="Alcm"/>
    <w:rsid w:val="00F73910"/>
    <w:rPr>
      <w:rFonts w:ascii="Cambria" w:eastAsia="Times New Roman" w:hAnsi="Cambria" w:cs="Times New Roman"/>
      <w:sz w:val="24"/>
      <w:szCs w:val="24"/>
      <w:lang w:val="ru-RU" w:eastAsia="ar-SA"/>
    </w:rPr>
  </w:style>
  <w:style w:type="paragraph" w:styleId="Nincstrkz">
    <w:name w:val="No Spacing"/>
    <w:qFormat/>
    <w:rsid w:val="00F73910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aszerbekezds">
    <w:name w:val="List Paragraph"/>
    <w:basedOn w:val="Norml"/>
    <w:uiPriority w:val="1"/>
    <w:qFormat/>
    <w:rsid w:val="00F73910"/>
    <w:pPr>
      <w:widowControl w:val="0"/>
    </w:pPr>
    <w:rPr>
      <w:rFonts w:asciiTheme="minorHAnsi" w:hAnsiTheme="minorHAnsi" w:cstheme="minorBidi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157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1578"/>
    <w:rPr>
      <w:rFonts w:ascii="Calibri" w:hAnsi="Calibri" w:cs="Calibri"/>
      <w:sz w:val="20"/>
      <w:szCs w:val="20"/>
    </w:rPr>
  </w:style>
  <w:style w:type="character" w:styleId="Lbjegyzet-hivatkozs">
    <w:name w:val="footnote reference"/>
    <w:aliases w:val="fr"/>
    <w:basedOn w:val="Bekezdsalapbettpusa"/>
    <w:uiPriority w:val="99"/>
    <w:semiHidden/>
    <w:unhideWhenUsed/>
    <w:rsid w:val="00BC157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26693"/>
    <w:rPr>
      <w:color w:val="0000FF" w:themeColor="hyperlink"/>
      <w:u w:val="single"/>
    </w:rPr>
  </w:style>
  <w:style w:type="paragraph" w:customStyle="1" w:styleId="c08dispositif">
    <w:name w:val="c08dispositif"/>
    <w:basedOn w:val="Norml"/>
    <w:rsid w:val="00195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32dispositifmarge1">
    <w:name w:val="c32dispositifmarge1"/>
    <w:basedOn w:val="Norml"/>
    <w:rsid w:val="00195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6079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screen-reader-text">
    <w:name w:val="screen-reader-text"/>
    <w:basedOn w:val="Bekezdsalapbettpusa"/>
    <w:rsid w:val="00860790"/>
  </w:style>
  <w:style w:type="character" w:customStyle="1" w:styleId="byline">
    <w:name w:val="byline"/>
    <w:basedOn w:val="Bekezdsalapbettpusa"/>
    <w:rsid w:val="00860790"/>
  </w:style>
  <w:style w:type="character" w:customStyle="1" w:styleId="author">
    <w:name w:val="author"/>
    <w:basedOn w:val="Bekezdsalapbettpusa"/>
    <w:rsid w:val="00860790"/>
  </w:style>
  <w:style w:type="character" w:customStyle="1" w:styleId="sep">
    <w:name w:val="sep"/>
    <w:basedOn w:val="Bekezdsalapbettpusa"/>
    <w:rsid w:val="00860790"/>
  </w:style>
  <w:style w:type="character" w:customStyle="1" w:styleId="posted-on">
    <w:name w:val="posted-on"/>
    <w:basedOn w:val="Bekezdsalapbettpusa"/>
    <w:rsid w:val="00860790"/>
  </w:style>
  <w:style w:type="character" w:customStyle="1" w:styleId="comments-link">
    <w:name w:val="comments-link"/>
    <w:basedOn w:val="Bekezdsalapbettpusa"/>
    <w:rsid w:val="00860790"/>
  </w:style>
  <w:style w:type="paragraph" w:styleId="NormlWeb">
    <w:name w:val="Normal (Web)"/>
    <w:basedOn w:val="Norml"/>
    <w:uiPriority w:val="99"/>
    <w:unhideWhenUsed/>
    <w:rsid w:val="008607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860790"/>
    <w:rPr>
      <w:i/>
      <w:iCs/>
    </w:rPr>
  </w:style>
  <w:style w:type="character" w:styleId="Kiemels2">
    <w:name w:val="Strong"/>
    <w:basedOn w:val="Bekezdsalapbettpusa"/>
    <w:uiPriority w:val="22"/>
    <w:qFormat/>
    <w:rsid w:val="0086079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7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uria.europa.eu/juris/document/document.jsf?docid=157281&amp;doclang=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pyrightseesaw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yrightseesaw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degen-szavak.hu" TargetMode="External"/><Relationship Id="rId2" Type="http://schemas.openxmlformats.org/officeDocument/2006/relationships/hyperlink" Target="https://www.alai.org/en/assets/files/resolutions/200330-opinion-article-17-directive-2019_790-en.pdf" TargetMode="External"/><Relationship Id="rId1" Type="http://schemas.openxmlformats.org/officeDocument/2006/relationships/hyperlink" Target="https://www.jiptec.eu/issues/jiptec-10-3-2019/5042" TargetMode="External"/><Relationship Id="rId5" Type="http://schemas.openxmlformats.org/officeDocument/2006/relationships/hyperlink" Target="http://juris.bundesgerichtshof.de/cgi-bin/rechtsprechung/document.py?Gericht=bgh&amp;Art=en&amp;sid=a16afe65ebd17883367848f09a83fd38&amp;nr=75832&amp;pos=0&amp;anz=1" TargetMode="External"/><Relationship Id="rId4" Type="http://schemas.openxmlformats.org/officeDocument/2006/relationships/hyperlink" Target="https://idegen-szavak-szotar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2E9E-1750-44AE-90B4-E35D75AA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11</Pages>
  <Words>4321</Words>
  <Characters>29822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Ficsor</dc:creator>
  <cp:lastModifiedBy>Ficsor</cp:lastModifiedBy>
  <cp:revision>84</cp:revision>
  <dcterms:created xsi:type="dcterms:W3CDTF">2020-06-05T08:36:00Z</dcterms:created>
  <dcterms:modified xsi:type="dcterms:W3CDTF">2020-06-08T20:45:00Z</dcterms:modified>
</cp:coreProperties>
</file>