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195CD9" w14:textId="3B8DFEF9" w:rsidR="000B2C6A" w:rsidRPr="00283BD7" w:rsidRDefault="00523AF3" w:rsidP="000B2C6A">
      <w:pPr>
        <w:jc w:val="center"/>
        <w:rPr>
          <w:b/>
          <w:sz w:val="28"/>
          <w:szCs w:val="28"/>
          <w:lang w:val="en-US"/>
        </w:rPr>
      </w:pPr>
      <w:r w:rsidRPr="00283BD7">
        <w:rPr>
          <w:b/>
          <w:i/>
          <w:sz w:val="28"/>
          <w:szCs w:val="28"/>
          <w:lang w:val="en-US"/>
        </w:rPr>
        <w:t xml:space="preserve">Il </w:t>
      </w:r>
      <w:r w:rsidR="00863788" w:rsidRPr="00283BD7">
        <w:rPr>
          <w:b/>
          <w:i/>
          <w:sz w:val="28"/>
          <w:szCs w:val="28"/>
          <w:lang w:val="en-US"/>
        </w:rPr>
        <w:t xml:space="preserve">est plus </w:t>
      </w:r>
      <w:r w:rsidRPr="00283BD7">
        <w:rPr>
          <w:b/>
          <w:i/>
          <w:sz w:val="28"/>
          <w:szCs w:val="28"/>
          <w:lang w:val="en-US"/>
        </w:rPr>
        <w:t>qu</w:t>
      </w:r>
      <w:r w:rsidR="00A723FC" w:rsidRPr="00283BD7">
        <w:rPr>
          <w:b/>
          <w:i/>
          <w:sz w:val="28"/>
          <w:szCs w:val="28"/>
          <w:lang w:val="en-US"/>
        </w:rPr>
        <w:t>’</w:t>
      </w:r>
      <w:r w:rsidRPr="00283BD7">
        <w:rPr>
          <w:b/>
          <w:i/>
          <w:sz w:val="28"/>
          <w:szCs w:val="28"/>
          <w:lang w:val="en-US"/>
        </w:rPr>
        <w:t>un</w:t>
      </w:r>
      <w:r w:rsidRPr="00283BD7">
        <w:rPr>
          <w:b/>
          <w:sz w:val="28"/>
          <w:szCs w:val="28"/>
          <w:lang w:val="en-US"/>
        </w:rPr>
        <w:t xml:space="preserve"> </w:t>
      </w:r>
      <w:r w:rsidR="009600E7" w:rsidRPr="00283BD7">
        <w:rPr>
          <w:b/>
          <w:i/>
          <w:sz w:val="28"/>
          <w:szCs w:val="28"/>
          <w:lang w:val="en-US"/>
        </w:rPr>
        <w:t>bémol</w:t>
      </w:r>
      <w:r w:rsidR="00D95666" w:rsidRPr="00283BD7">
        <w:rPr>
          <w:rStyle w:val="Lbjegyzet-hivatkozs"/>
          <w:b/>
          <w:i/>
          <w:sz w:val="28"/>
          <w:szCs w:val="28"/>
          <w:lang w:val="en-US"/>
        </w:rPr>
        <w:footnoteReference w:id="2"/>
      </w:r>
      <w:r w:rsidR="00B07CAC" w:rsidRPr="00283BD7">
        <w:rPr>
          <w:b/>
          <w:i/>
          <w:sz w:val="28"/>
          <w:szCs w:val="28"/>
          <w:lang w:val="en-US"/>
        </w:rPr>
        <w:t>;</w:t>
      </w:r>
      <w:r w:rsidR="00CA2E65">
        <w:rPr>
          <w:b/>
          <w:i/>
          <w:sz w:val="28"/>
          <w:szCs w:val="28"/>
          <w:lang w:val="en-US"/>
        </w:rPr>
        <w:t xml:space="preserve"> </w:t>
      </w:r>
      <w:r w:rsidR="008B1509">
        <w:rPr>
          <w:b/>
          <w:i/>
          <w:sz w:val="28"/>
          <w:szCs w:val="28"/>
          <w:lang w:val="en-US"/>
        </w:rPr>
        <w:t>das ist</w:t>
      </w:r>
      <w:r w:rsidR="00B07CAC" w:rsidRPr="00283BD7">
        <w:rPr>
          <w:b/>
          <w:i/>
          <w:sz w:val="28"/>
          <w:szCs w:val="28"/>
          <w:lang w:val="en-US"/>
        </w:rPr>
        <w:t xml:space="preserve"> </w:t>
      </w:r>
      <w:r w:rsidR="00A723FC" w:rsidRPr="00283BD7">
        <w:rPr>
          <w:b/>
          <w:i/>
          <w:sz w:val="28"/>
          <w:szCs w:val="28"/>
          <w:lang w:val="en-US"/>
        </w:rPr>
        <w:t>eine völlig andere Music</w:t>
      </w:r>
      <w:r w:rsidR="00A723FC" w:rsidRPr="00283BD7">
        <w:rPr>
          <w:rStyle w:val="Lbjegyzet-hivatkozs"/>
          <w:b/>
          <w:sz w:val="28"/>
          <w:szCs w:val="28"/>
          <w:lang w:val="en-US"/>
        </w:rPr>
        <w:footnoteReference w:id="3"/>
      </w:r>
      <w:r w:rsidR="00423DE0" w:rsidRPr="00283BD7">
        <w:rPr>
          <w:b/>
          <w:sz w:val="28"/>
          <w:szCs w:val="28"/>
          <w:lang w:val="en-US"/>
        </w:rPr>
        <w:t>:</w:t>
      </w:r>
      <w:r w:rsidR="00D95666" w:rsidRPr="00283BD7">
        <w:rPr>
          <w:b/>
          <w:i/>
          <w:sz w:val="28"/>
          <w:szCs w:val="28"/>
          <w:lang w:val="en-US"/>
        </w:rPr>
        <w:t xml:space="preserve"> </w:t>
      </w:r>
      <w:r w:rsidR="00943A46" w:rsidRPr="00283BD7">
        <w:rPr>
          <w:b/>
          <w:sz w:val="28"/>
          <w:szCs w:val="28"/>
          <w:lang w:val="en-US"/>
        </w:rPr>
        <w:t xml:space="preserve">comments on </w:t>
      </w:r>
      <w:r w:rsidR="00311A9E">
        <w:rPr>
          <w:b/>
          <w:sz w:val="28"/>
          <w:szCs w:val="28"/>
          <w:lang w:val="en-US"/>
        </w:rPr>
        <w:t>certain Recommendations</w:t>
      </w:r>
      <w:r w:rsidR="00E524C8" w:rsidRPr="00283BD7">
        <w:rPr>
          <w:b/>
          <w:sz w:val="28"/>
          <w:szCs w:val="28"/>
          <w:lang w:val="en-US"/>
        </w:rPr>
        <w:t xml:space="preserve"> </w:t>
      </w:r>
      <w:r w:rsidR="00311A9E">
        <w:rPr>
          <w:b/>
          <w:sz w:val="28"/>
          <w:szCs w:val="28"/>
          <w:lang w:val="en-US"/>
        </w:rPr>
        <w:t>published</w:t>
      </w:r>
      <w:r w:rsidR="002D11D5" w:rsidRPr="00283BD7">
        <w:rPr>
          <w:b/>
          <w:sz w:val="28"/>
          <w:szCs w:val="28"/>
          <w:lang w:val="en-US"/>
        </w:rPr>
        <w:t xml:space="preserve"> </w:t>
      </w:r>
      <w:r w:rsidR="00E524C8" w:rsidRPr="00283BD7">
        <w:rPr>
          <w:b/>
          <w:sz w:val="28"/>
          <w:szCs w:val="28"/>
          <w:lang w:val="en-US"/>
        </w:rPr>
        <w:t>by</w:t>
      </w:r>
      <w:r w:rsidR="000B2C6A" w:rsidRPr="00283BD7">
        <w:rPr>
          <w:b/>
          <w:sz w:val="28"/>
          <w:szCs w:val="28"/>
          <w:lang w:val="en-US"/>
        </w:rPr>
        <w:t xml:space="preserve"> </w:t>
      </w:r>
      <w:r w:rsidR="00AA1EFD" w:rsidRPr="00283BD7">
        <w:rPr>
          <w:b/>
          <w:sz w:val="28"/>
          <w:szCs w:val="28"/>
          <w:lang w:val="en-US"/>
        </w:rPr>
        <w:t xml:space="preserve">a group of </w:t>
      </w:r>
      <w:r w:rsidR="000B2C6A" w:rsidRPr="00283BD7">
        <w:rPr>
          <w:b/>
          <w:sz w:val="28"/>
          <w:szCs w:val="28"/>
          <w:lang w:val="en-US"/>
        </w:rPr>
        <w:t xml:space="preserve">European </w:t>
      </w:r>
      <w:r w:rsidR="00FF46E3" w:rsidRPr="00283BD7">
        <w:rPr>
          <w:b/>
          <w:sz w:val="28"/>
          <w:szCs w:val="28"/>
          <w:lang w:val="en-US"/>
        </w:rPr>
        <w:t>a</w:t>
      </w:r>
      <w:r w:rsidR="000B2C6A" w:rsidRPr="00283BD7">
        <w:rPr>
          <w:b/>
          <w:sz w:val="28"/>
          <w:szCs w:val="28"/>
          <w:lang w:val="en-US"/>
        </w:rPr>
        <w:t xml:space="preserve">cademics to suggest a </w:t>
      </w:r>
      <w:r w:rsidR="00AA1EFD" w:rsidRPr="00283BD7">
        <w:rPr>
          <w:b/>
          <w:sz w:val="28"/>
          <w:szCs w:val="28"/>
          <w:lang w:val="en-US"/>
        </w:rPr>
        <w:t xml:space="preserve">special </w:t>
      </w:r>
      <w:r w:rsidR="000B2C6A" w:rsidRPr="00283BD7">
        <w:rPr>
          <w:b/>
          <w:sz w:val="28"/>
          <w:szCs w:val="28"/>
          <w:lang w:val="en-US"/>
        </w:rPr>
        <w:t>way of i</w:t>
      </w:r>
      <w:r w:rsidR="00FF46E3" w:rsidRPr="00283BD7">
        <w:rPr>
          <w:b/>
          <w:sz w:val="28"/>
          <w:szCs w:val="28"/>
          <w:lang w:val="en-US"/>
        </w:rPr>
        <w:t>mplementation</w:t>
      </w:r>
      <w:r w:rsidR="00A723FC" w:rsidRPr="00283BD7">
        <w:rPr>
          <w:b/>
          <w:sz w:val="28"/>
          <w:szCs w:val="28"/>
          <w:lang w:val="en-US"/>
        </w:rPr>
        <w:t xml:space="preserve"> </w:t>
      </w:r>
      <w:r w:rsidR="000B2C6A" w:rsidRPr="00283BD7">
        <w:rPr>
          <w:b/>
          <w:sz w:val="28"/>
          <w:szCs w:val="28"/>
          <w:lang w:val="en-US"/>
        </w:rPr>
        <w:t>of Article 17</w:t>
      </w:r>
      <w:r w:rsidR="00AA1EFD" w:rsidRPr="00283BD7">
        <w:rPr>
          <w:b/>
          <w:sz w:val="28"/>
          <w:szCs w:val="28"/>
          <w:lang w:val="en-US"/>
        </w:rPr>
        <w:t xml:space="preserve"> </w:t>
      </w:r>
      <w:r w:rsidR="00240790" w:rsidRPr="00283BD7">
        <w:rPr>
          <w:b/>
          <w:sz w:val="28"/>
          <w:szCs w:val="28"/>
          <w:lang w:val="en-US"/>
        </w:rPr>
        <w:t xml:space="preserve">of </w:t>
      </w:r>
      <w:r w:rsidR="000B2C6A" w:rsidRPr="00283BD7">
        <w:rPr>
          <w:b/>
          <w:sz w:val="28"/>
          <w:szCs w:val="28"/>
          <w:lang w:val="en-US"/>
        </w:rPr>
        <w:t>the DSM Directive</w:t>
      </w:r>
      <w:r w:rsidR="009E5317" w:rsidRPr="00283BD7">
        <w:rPr>
          <w:b/>
          <w:sz w:val="28"/>
          <w:szCs w:val="28"/>
          <w:lang w:val="en-US"/>
        </w:rPr>
        <w:t xml:space="preserve"> </w:t>
      </w:r>
      <w:r w:rsidR="00FF46E3" w:rsidRPr="00283BD7">
        <w:rPr>
          <w:b/>
          <w:sz w:val="28"/>
          <w:szCs w:val="28"/>
          <w:lang w:val="en-US"/>
        </w:rPr>
        <w:t xml:space="preserve"> </w:t>
      </w:r>
      <w:r w:rsidR="009A6842" w:rsidRPr="00283BD7">
        <w:rPr>
          <w:b/>
          <w:sz w:val="28"/>
          <w:szCs w:val="28"/>
          <w:lang w:val="en-US"/>
        </w:rPr>
        <w:t xml:space="preserve">  </w:t>
      </w:r>
    </w:p>
    <w:p w14:paraId="265DA9FD" w14:textId="77777777" w:rsidR="00045AC6" w:rsidRDefault="00045AC6" w:rsidP="000B2C6A">
      <w:pPr>
        <w:jc w:val="center"/>
        <w:rPr>
          <w:b/>
          <w:sz w:val="28"/>
          <w:szCs w:val="28"/>
          <w:lang w:val="en-US"/>
        </w:rPr>
      </w:pPr>
    </w:p>
    <w:p w14:paraId="567FF2CD" w14:textId="77777777" w:rsidR="000B2C6A" w:rsidRPr="00283BD7" w:rsidRDefault="000B2C6A" w:rsidP="000B2C6A">
      <w:pPr>
        <w:jc w:val="center"/>
        <w:rPr>
          <w:b/>
          <w:sz w:val="28"/>
          <w:szCs w:val="28"/>
          <w:lang w:val="en-US"/>
        </w:rPr>
      </w:pPr>
      <w:r w:rsidRPr="00283BD7">
        <w:rPr>
          <w:b/>
          <w:sz w:val="28"/>
          <w:szCs w:val="28"/>
          <w:lang w:val="en-US"/>
        </w:rPr>
        <w:t>Dr. Mihály J. Ficsor</w:t>
      </w:r>
      <w:r w:rsidRPr="00283BD7">
        <w:rPr>
          <w:rStyle w:val="Lbjegyzet-hivatkozs"/>
          <w:b/>
          <w:sz w:val="28"/>
          <w:szCs w:val="28"/>
          <w:lang w:val="en-US"/>
        </w:rPr>
        <w:footnoteReference w:customMarkFollows="1" w:id="4"/>
        <w:sym w:font="Symbol" w:char="F02A"/>
      </w:r>
    </w:p>
    <w:p w14:paraId="05927DD0" w14:textId="77777777" w:rsidR="000B2C6A" w:rsidRPr="00283BD7" w:rsidRDefault="000B2C6A" w:rsidP="000B2C6A">
      <w:pPr>
        <w:jc w:val="center"/>
        <w:rPr>
          <w:b/>
          <w:sz w:val="28"/>
          <w:szCs w:val="28"/>
          <w:lang w:val="en-US"/>
        </w:rPr>
      </w:pPr>
    </w:p>
    <w:p w14:paraId="5FF15825" w14:textId="77777777" w:rsidR="00FF46E3" w:rsidRPr="00283BD7" w:rsidRDefault="002D11D5" w:rsidP="000B2C6A">
      <w:pPr>
        <w:jc w:val="center"/>
        <w:rPr>
          <w:b/>
          <w:sz w:val="24"/>
          <w:szCs w:val="24"/>
          <w:lang w:val="en-US"/>
        </w:rPr>
      </w:pPr>
      <w:r w:rsidRPr="00283BD7">
        <w:rPr>
          <w:b/>
          <w:sz w:val="24"/>
          <w:szCs w:val="24"/>
          <w:lang w:val="en-US"/>
        </w:rPr>
        <w:t>I. B</w:t>
      </w:r>
      <w:r w:rsidR="00AA2B99" w:rsidRPr="00283BD7">
        <w:rPr>
          <w:b/>
          <w:sz w:val="24"/>
          <w:szCs w:val="24"/>
          <w:lang w:val="en-US"/>
        </w:rPr>
        <w:t xml:space="preserve">asic differences of opinion between various groups of European academics in the course of preparation of what became Article 17  </w:t>
      </w:r>
      <w:r w:rsidR="00FF46E3" w:rsidRPr="00283BD7">
        <w:rPr>
          <w:b/>
          <w:sz w:val="24"/>
          <w:szCs w:val="24"/>
          <w:lang w:val="en-US"/>
        </w:rPr>
        <w:t xml:space="preserve">  </w:t>
      </w:r>
    </w:p>
    <w:p w14:paraId="48CF7D80" w14:textId="77777777" w:rsidR="00FF46E3" w:rsidRPr="00283BD7" w:rsidRDefault="00FF46E3" w:rsidP="00FF46E3">
      <w:pPr>
        <w:jc w:val="both"/>
        <w:rPr>
          <w:sz w:val="24"/>
          <w:szCs w:val="24"/>
          <w:lang w:val="en-US"/>
        </w:rPr>
      </w:pPr>
    </w:p>
    <w:p w14:paraId="5B0E6D37" w14:textId="77777777" w:rsidR="00D95666" w:rsidRPr="00283BD7" w:rsidRDefault="00FF46E3" w:rsidP="00FF46E3">
      <w:pPr>
        <w:jc w:val="both"/>
        <w:rPr>
          <w:sz w:val="24"/>
          <w:szCs w:val="24"/>
          <w:lang w:val="en-US"/>
        </w:rPr>
      </w:pPr>
      <w:r w:rsidRPr="00283BD7">
        <w:rPr>
          <w:sz w:val="24"/>
          <w:szCs w:val="24"/>
          <w:lang w:val="en-US"/>
        </w:rPr>
        <w:t xml:space="preserve">I do not think that I am far away from the truth and that too many people will </w:t>
      </w:r>
      <w:r w:rsidR="00A240B5" w:rsidRPr="00283BD7">
        <w:rPr>
          <w:sz w:val="24"/>
          <w:szCs w:val="24"/>
          <w:lang w:val="en-US"/>
        </w:rPr>
        <w:t>disagree</w:t>
      </w:r>
      <w:r w:rsidRPr="00283BD7">
        <w:rPr>
          <w:sz w:val="24"/>
          <w:szCs w:val="24"/>
          <w:lang w:val="en-US"/>
        </w:rPr>
        <w:t xml:space="preserve"> with me when I state that the preparation of Article 17 </w:t>
      </w:r>
      <w:r w:rsidR="00A240B5" w:rsidRPr="00283BD7">
        <w:rPr>
          <w:sz w:val="24"/>
          <w:szCs w:val="24"/>
          <w:lang w:val="en-US"/>
        </w:rPr>
        <w:t>(</w:t>
      </w:r>
      <w:r w:rsidR="001C1DBA">
        <w:rPr>
          <w:sz w:val="24"/>
          <w:szCs w:val="24"/>
          <w:lang w:val="en-US"/>
        </w:rPr>
        <w:t>previously Ar</w:t>
      </w:r>
      <w:r w:rsidR="00A240B5" w:rsidRPr="00283BD7">
        <w:rPr>
          <w:sz w:val="24"/>
          <w:szCs w:val="24"/>
          <w:lang w:val="en-US"/>
        </w:rPr>
        <w:t xml:space="preserve">ticle 13) </w:t>
      </w:r>
      <w:r w:rsidRPr="00283BD7">
        <w:rPr>
          <w:sz w:val="24"/>
          <w:szCs w:val="24"/>
          <w:lang w:val="en-US"/>
        </w:rPr>
        <w:t xml:space="preserve">of the </w:t>
      </w:r>
      <w:r w:rsidR="00A240B5" w:rsidRPr="00283BD7">
        <w:rPr>
          <w:sz w:val="24"/>
          <w:szCs w:val="24"/>
          <w:lang w:val="en-US"/>
        </w:rPr>
        <w:t xml:space="preserve">Digital Single Market Directive </w:t>
      </w:r>
      <w:r w:rsidR="005718F0">
        <w:rPr>
          <w:sz w:val="24"/>
          <w:szCs w:val="24"/>
          <w:lang w:val="en-US"/>
        </w:rPr>
        <w:t xml:space="preserve">(Directive </w:t>
      </w:r>
      <w:r w:rsidR="006A78F2">
        <w:rPr>
          <w:sz w:val="24"/>
          <w:szCs w:val="24"/>
          <w:lang w:val="en-US"/>
        </w:rPr>
        <w:t xml:space="preserve">(EU) 2019/790) </w:t>
      </w:r>
      <w:r w:rsidR="00A240B5" w:rsidRPr="00283BD7">
        <w:rPr>
          <w:sz w:val="24"/>
          <w:szCs w:val="24"/>
          <w:lang w:val="en-US"/>
        </w:rPr>
        <w:t xml:space="preserve">has triggered the most heated debate so far in the field of copyright in the European Union. </w:t>
      </w:r>
    </w:p>
    <w:p w14:paraId="5380CF64" w14:textId="77777777" w:rsidR="00D95666" w:rsidRPr="00283BD7" w:rsidRDefault="00D95666" w:rsidP="00FF46E3">
      <w:pPr>
        <w:jc w:val="both"/>
        <w:rPr>
          <w:sz w:val="24"/>
          <w:szCs w:val="24"/>
          <w:lang w:val="en-US"/>
        </w:rPr>
      </w:pPr>
    </w:p>
    <w:p w14:paraId="0FA10533" w14:textId="4206E6E9" w:rsidR="00FF46E3" w:rsidRPr="00283BD7" w:rsidRDefault="00A240B5" w:rsidP="00FF46E3">
      <w:pPr>
        <w:jc w:val="both"/>
        <w:rPr>
          <w:sz w:val="24"/>
          <w:szCs w:val="24"/>
          <w:lang w:val="en-US"/>
        </w:rPr>
      </w:pPr>
      <w:r w:rsidRPr="00283BD7">
        <w:rPr>
          <w:sz w:val="24"/>
          <w:szCs w:val="24"/>
          <w:lang w:val="en-US"/>
        </w:rPr>
        <w:t xml:space="preserve">In fact, it </w:t>
      </w:r>
      <w:r w:rsidR="00D95666" w:rsidRPr="00283BD7">
        <w:rPr>
          <w:sz w:val="24"/>
          <w:szCs w:val="24"/>
          <w:lang w:val="en-US"/>
        </w:rPr>
        <w:t xml:space="preserve">was considered </w:t>
      </w:r>
      <w:r w:rsidRPr="00283BD7">
        <w:rPr>
          <w:sz w:val="24"/>
          <w:szCs w:val="24"/>
          <w:lang w:val="en-US"/>
        </w:rPr>
        <w:t xml:space="preserve">so important that it </w:t>
      </w:r>
      <w:r w:rsidR="008B2AC1">
        <w:rPr>
          <w:sz w:val="24"/>
          <w:szCs w:val="24"/>
          <w:lang w:val="en-US"/>
        </w:rPr>
        <w:t>drew</w:t>
      </w:r>
      <w:r w:rsidRPr="00283BD7">
        <w:rPr>
          <w:sz w:val="24"/>
          <w:szCs w:val="24"/>
          <w:lang w:val="en-US"/>
        </w:rPr>
        <w:t xml:space="preserve"> great attention and a lot of comments</w:t>
      </w:r>
      <w:r w:rsidR="00AA3D97">
        <w:rPr>
          <w:sz w:val="24"/>
          <w:szCs w:val="24"/>
          <w:lang w:val="en-US"/>
        </w:rPr>
        <w:t xml:space="preserve"> even </w:t>
      </w:r>
      <w:r w:rsidRPr="00283BD7">
        <w:rPr>
          <w:sz w:val="24"/>
          <w:szCs w:val="24"/>
          <w:lang w:val="en-US"/>
        </w:rPr>
        <w:t xml:space="preserve">from other parts of the world, in particular from the US where several IT and online giants </w:t>
      </w:r>
      <w:r w:rsidR="00D95666" w:rsidRPr="00283BD7">
        <w:rPr>
          <w:sz w:val="24"/>
          <w:szCs w:val="24"/>
          <w:lang w:val="en-US"/>
        </w:rPr>
        <w:t xml:space="preserve">were </w:t>
      </w:r>
      <w:r w:rsidRPr="00283BD7">
        <w:rPr>
          <w:sz w:val="24"/>
          <w:szCs w:val="24"/>
          <w:lang w:val="en-US"/>
        </w:rPr>
        <w:t xml:space="preserve">closely interested in the outcome of </w:t>
      </w:r>
      <w:r w:rsidR="001C1DBA">
        <w:rPr>
          <w:sz w:val="24"/>
          <w:szCs w:val="24"/>
          <w:lang w:val="en-US"/>
        </w:rPr>
        <w:t xml:space="preserve">the </w:t>
      </w:r>
      <w:r w:rsidRPr="00283BD7">
        <w:rPr>
          <w:sz w:val="24"/>
          <w:szCs w:val="24"/>
          <w:lang w:val="en-US"/>
        </w:rPr>
        <w:t xml:space="preserve">debates. There </w:t>
      </w:r>
      <w:r w:rsidR="001C1DBA">
        <w:rPr>
          <w:sz w:val="24"/>
          <w:szCs w:val="24"/>
          <w:lang w:val="en-US"/>
        </w:rPr>
        <w:t>were</w:t>
      </w:r>
      <w:r w:rsidRPr="00283BD7">
        <w:rPr>
          <w:sz w:val="24"/>
          <w:szCs w:val="24"/>
          <w:lang w:val="en-US"/>
        </w:rPr>
        <w:t xml:space="preserve"> a lot of rumors </w:t>
      </w:r>
      <w:r w:rsidR="00A5420F">
        <w:rPr>
          <w:sz w:val="24"/>
          <w:szCs w:val="24"/>
          <w:lang w:val="en-US"/>
        </w:rPr>
        <w:t xml:space="preserve">about </w:t>
      </w:r>
      <w:r w:rsidRPr="00283BD7">
        <w:rPr>
          <w:sz w:val="24"/>
          <w:szCs w:val="24"/>
          <w:lang w:val="en-US"/>
        </w:rPr>
        <w:t>how those giants tried to influence the pr</w:t>
      </w:r>
      <w:r w:rsidR="0018129B" w:rsidRPr="00283BD7">
        <w:rPr>
          <w:sz w:val="24"/>
          <w:szCs w:val="24"/>
          <w:lang w:val="en-US"/>
        </w:rPr>
        <w:t xml:space="preserve">eparatory work and also some reliable information </w:t>
      </w:r>
      <w:r w:rsidR="002536EE" w:rsidRPr="00283BD7">
        <w:rPr>
          <w:sz w:val="24"/>
          <w:szCs w:val="24"/>
          <w:lang w:val="en-US"/>
        </w:rPr>
        <w:t xml:space="preserve">on </w:t>
      </w:r>
      <w:r w:rsidR="0018129B" w:rsidRPr="00283BD7">
        <w:rPr>
          <w:sz w:val="24"/>
          <w:szCs w:val="24"/>
          <w:lang w:val="en-US"/>
        </w:rPr>
        <w:t xml:space="preserve">huge amounts of money </w:t>
      </w:r>
      <w:r w:rsidR="002536EE" w:rsidRPr="00283BD7">
        <w:rPr>
          <w:sz w:val="24"/>
          <w:szCs w:val="24"/>
          <w:lang w:val="en-US"/>
        </w:rPr>
        <w:t xml:space="preserve">transferred to </w:t>
      </w:r>
      <w:r w:rsidR="0018129B" w:rsidRPr="00283BD7">
        <w:rPr>
          <w:sz w:val="24"/>
          <w:szCs w:val="24"/>
          <w:lang w:val="en-US"/>
        </w:rPr>
        <w:t>“NGOs”, bloggers and campaign organizers representing their interests</w:t>
      </w:r>
      <w:r w:rsidR="0011113D" w:rsidRPr="00283BD7">
        <w:rPr>
          <w:rStyle w:val="Lbjegyzet-hivatkozs"/>
          <w:sz w:val="24"/>
          <w:szCs w:val="24"/>
          <w:lang w:val="en-US"/>
        </w:rPr>
        <w:footnoteReference w:id="5"/>
      </w:r>
      <w:r w:rsidR="0018129B" w:rsidRPr="00283BD7">
        <w:rPr>
          <w:sz w:val="24"/>
          <w:szCs w:val="24"/>
          <w:lang w:val="en-US"/>
        </w:rPr>
        <w:t xml:space="preserve"> and even </w:t>
      </w:r>
      <w:r w:rsidR="002536EE" w:rsidRPr="00283BD7">
        <w:rPr>
          <w:sz w:val="24"/>
          <w:szCs w:val="24"/>
          <w:lang w:val="en-US"/>
        </w:rPr>
        <w:t>to</w:t>
      </w:r>
      <w:r w:rsidR="0018129B" w:rsidRPr="00283BD7">
        <w:rPr>
          <w:sz w:val="24"/>
          <w:szCs w:val="24"/>
          <w:lang w:val="en-US"/>
        </w:rPr>
        <w:t xml:space="preserve"> some academic circles, universities and </w:t>
      </w:r>
      <w:r w:rsidR="0018129B" w:rsidRPr="00283BD7">
        <w:rPr>
          <w:sz w:val="24"/>
          <w:szCs w:val="24"/>
          <w:lang w:val="en-US"/>
        </w:rPr>
        <w:lastRenderedPageBreak/>
        <w:t xml:space="preserve">research institutions </w:t>
      </w:r>
      <w:r w:rsidR="00C03E77">
        <w:rPr>
          <w:sz w:val="24"/>
          <w:szCs w:val="24"/>
          <w:lang w:val="en-US"/>
        </w:rPr>
        <w:t>from</w:t>
      </w:r>
      <w:r w:rsidR="00C03E77" w:rsidRPr="00283BD7">
        <w:rPr>
          <w:sz w:val="24"/>
          <w:szCs w:val="24"/>
          <w:lang w:val="en-US"/>
        </w:rPr>
        <w:t xml:space="preserve"> </w:t>
      </w:r>
      <w:r w:rsidR="0018129B" w:rsidRPr="00283BD7">
        <w:rPr>
          <w:sz w:val="24"/>
          <w:szCs w:val="24"/>
          <w:lang w:val="en-US"/>
        </w:rPr>
        <w:t xml:space="preserve">which they </w:t>
      </w:r>
      <w:r w:rsidR="0004434A">
        <w:rPr>
          <w:sz w:val="24"/>
          <w:szCs w:val="24"/>
          <w:lang w:val="en-US"/>
        </w:rPr>
        <w:t>were</w:t>
      </w:r>
      <w:r w:rsidR="0018129B" w:rsidRPr="00283BD7">
        <w:rPr>
          <w:sz w:val="24"/>
          <w:szCs w:val="24"/>
          <w:lang w:val="en-US"/>
        </w:rPr>
        <w:t xml:space="preserve"> hoping to get support</w:t>
      </w:r>
      <w:r w:rsidR="00D95666" w:rsidRPr="00283BD7">
        <w:rPr>
          <w:rStyle w:val="Lbjegyzet-hivatkozs"/>
          <w:sz w:val="24"/>
          <w:szCs w:val="24"/>
          <w:lang w:val="en-US"/>
        </w:rPr>
        <w:footnoteReference w:id="6"/>
      </w:r>
      <w:r w:rsidR="0018129B" w:rsidRPr="00283BD7">
        <w:rPr>
          <w:sz w:val="24"/>
          <w:szCs w:val="24"/>
          <w:lang w:val="en-US"/>
        </w:rPr>
        <w:t xml:space="preserve">.  </w:t>
      </w:r>
      <w:r w:rsidR="00D95666" w:rsidRPr="00283BD7">
        <w:rPr>
          <w:sz w:val="24"/>
          <w:szCs w:val="24"/>
          <w:lang w:val="en-US"/>
        </w:rPr>
        <w:t>This</w:t>
      </w:r>
      <w:r w:rsidR="0018129B" w:rsidRPr="00283BD7">
        <w:rPr>
          <w:sz w:val="24"/>
          <w:szCs w:val="24"/>
          <w:lang w:val="en-US"/>
        </w:rPr>
        <w:t xml:space="preserve"> is not a complaint or criticism</w:t>
      </w:r>
      <w:r w:rsidR="00E524C8" w:rsidRPr="00283BD7">
        <w:rPr>
          <w:sz w:val="24"/>
          <w:szCs w:val="24"/>
          <w:lang w:val="en-US"/>
        </w:rPr>
        <w:t xml:space="preserve"> even less a condemnation</w:t>
      </w:r>
      <w:r w:rsidR="0018129B" w:rsidRPr="00283BD7">
        <w:rPr>
          <w:sz w:val="24"/>
          <w:szCs w:val="24"/>
          <w:lang w:val="en-US"/>
        </w:rPr>
        <w:t xml:space="preserve">; </w:t>
      </w:r>
      <w:r w:rsidR="00E524C8" w:rsidRPr="00283BD7">
        <w:rPr>
          <w:sz w:val="24"/>
          <w:szCs w:val="24"/>
          <w:lang w:val="en-US"/>
        </w:rPr>
        <w:t xml:space="preserve">it is </w:t>
      </w:r>
      <w:r w:rsidR="0018129B" w:rsidRPr="00283BD7">
        <w:rPr>
          <w:sz w:val="24"/>
          <w:szCs w:val="24"/>
          <w:lang w:val="en-US"/>
        </w:rPr>
        <w:t xml:space="preserve">just a description of what seem to be </w:t>
      </w:r>
      <w:r w:rsidR="001C1DBA">
        <w:rPr>
          <w:sz w:val="24"/>
          <w:szCs w:val="24"/>
          <w:lang w:val="en-US"/>
        </w:rPr>
        <w:t xml:space="preserve">dry </w:t>
      </w:r>
      <w:r w:rsidR="0018129B" w:rsidRPr="00283BD7">
        <w:rPr>
          <w:sz w:val="24"/>
          <w:szCs w:val="24"/>
          <w:lang w:val="en-US"/>
        </w:rPr>
        <w:t>fact</w:t>
      </w:r>
      <w:r w:rsidR="002536EE" w:rsidRPr="00283BD7">
        <w:rPr>
          <w:sz w:val="24"/>
          <w:szCs w:val="24"/>
          <w:lang w:val="en-US"/>
        </w:rPr>
        <w:t>s</w:t>
      </w:r>
      <w:r w:rsidR="00E524C8" w:rsidRPr="00283BD7">
        <w:rPr>
          <w:sz w:val="24"/>
          <w:szCs w:val="24"/>
          <w:lang w:val="en-US"/>
        </w:rPr>
        <w:t>. It is</w:t>
      </w:r>
      <w:r w:rsidR="0018129B" w:rsidRPr="00283BD7">
        <w:rPr>
          <w:sz w:val="24"/>
          <w:szCs w:val="24"/>
          <w:lang w:val="en-US"/>
        </w:rPr>
        <w:t xml:space="preserve"> </w:t>
      </w:r>
      <w:r w:rsidR="00B32D18" w:rsidRPr="00283BD7">
        <w:rPr>
          <w:sz w:val="24"/>
          <w:szCs w:val="24"/>
          <w:lang w:val="en-US"/>
        </w:rPr>
        <w:t xml:space="preserve">understandable </w:t>
      </w:r>
      <w:r w:rsidR="0018129B" w:rsidRPr="00283BD7">
        <w:rPr>
          <w:sz w:val="24"/>
          <w:szCs w:val="24"/>
          <w:lang w:val="en-US"/>
        </w:rPr>
        <w:t xml:space="preserve">that </w:t>
      </w:r>
      <w:r w:rsidR="001C1DBA">
        <w:rPr>
          <w:sz w:val="24"/>
          <w:szCs w:val="24"/>
          <w:lang w:val="en-US"/>
        </w:rPr>
        <w:t xml:space="preserve">the </w:t>
      </w:r>
      <w:r w:rsidR="002536EE" w:rsidRPr="00283BD7">
        <w:rPr>
          <w:sz w:val="24"/>
          <w:szCs w:val="24"/>
          <w:lang w:val="en-US"/>
        </w:rPr>
        <w:t xml:space="preserve">big online players </w:t>
      </w:r>
      <w:r w:rsidR="0018129B" w:rsidRPr="00283BD7">
        <w:rPr>
          <w:sz w:val="24"/>
          <w:szCs w:val="24"/>
          <w:lang w:val="en-US"/>
        </w:rPr>
        <w:t>tried to use their economic and political influence as much as possible</w:t>
      </w:r>
      <w:r w:rsidR="0011113D" w:rsidRPr="00283BD7">
        <w:rPr>
          <w:sz w:val="24"/>
          <w:szCs w:val="24"/>
          <w:lang w:val="en-US"/>
        </w:rPr>
        <w:t xml:space="preserve"> to avoid being burdened with legal obligations and liability for what they </w:t>
      </w:r>
      <w:r w:rsidR="001C1DBA">
        <w:rPr>
          <w:sz w:val="24"/>
          <w:szCs w:val="24"/>
          <w:lang w:val="en-US"/>
        </w:rPr>
        <w:t xml:space="preserve">were </w:t>
      </w:r>
      <w:r w:rsidR="0011113D" w:rsidRPr="00283BD7">
        <w:rPr>
          <w:sz w:val="24"/>
          <w:szCs w:val="24"/>
          <w:lang w:val="en-US"/>
        </w:rPr>
        <w:t>enjoy</w:t>
      </w:r>
      <w:r w:rsidR="001C1DBA">
        <w:rPr>
          <w:sz w:val="24"/>
          <w:szCs w:val="24"/>
          <w:lang w:val="en-US"/>
        </w:rPr>
        <w:t>ing</w:t>
      </w:r>
      <w:r w:rsidR="0011113D" w:rsidRPr="00283BD7">
        <w:rPr>
          <w:sz w:val="24"/>
          <w:szCs w:val="24"/>
          <w:lang w:val="en-US"/>
        </w:rPr>
        <w:t xml:space="preserve"> freely. </w:t>
      </w:r>
      <w:r w:rsidR="00E524C8" w:rsidRPr="00283BD7">
        <w:rPr>
          <w:sz w:val="24"/>
          <w:szCs w:val="24"/>
          <w:lang w:val="en-US"/>
        </w:rPr>
        <w:t xml:space="preserve">In turn, </w:t>
      </w:r>
      <w:r w:rsidR="0011113D" w:rsidRPr="00283BD7">
        <w:rPr>
          <w:sz w:val="24"/>
          <w:szCs w:val="24"/>
          <w:lang w:val="en-US"/>
        </w:rPr>
        <w:t>it was also understandable that creators – authors and performers – as well as publishers and producers investing in the production of works and in legitimate services expressed support for the provisions intended to eliminate or</w:t>
      </w:r>
      <w:r w:rsidR="002536EE" w:rsidRPr="00283BD7">
        <w:rPr>
          <w:sz w:val="24"/>
          <w:szCs w:val="24"/>
          <w:lang w:val="en-US"/>
        </w:rPr>
        <w:t>,</w:t>
      </w:r>
      <w:r w:rsidR="0011113D" w:rsidRPr="00283BD7">
        <w:rPr>
          <w:sz w:val="24"/>
          <w:szCs w:val="24"/>
          <w:lang w:val="en-US"/>
        </w:rPr>
        <w:t xml:space="preserve"> </w:t>
      </w:r>
      <w:r w:rsidR="00B32D18" w:rsidRPr="00283BD7">
        <w:rPr>
          <w:sz w:val="24"/>
          <w:szCs w:val="24"/>
          <w:lang w:val="en-US"/>
        </w:rPr>
        <w:t>at least, arrow the “value gap”</w:t>
      </w:r>
      <w:r w:rsidR="001C1DBA">
        <w:rPr>
          <w:rStyle w:val="Lbjegyzet-hivatkozs"/>
          <w:sz w:val="24"/>
          <w:szCs w:val="24"/>
          <w:lang w:val="en-US"/>
        </w:rPr>
        <w:footnoteReference w:id="7"/>
      </w:r>
      <w:r w:rsidR="00B32D18" w:rsidRPr="00283BD7">
        <w:rPr>
          <w:sz w:val="24"/>
          <w:szCs w:val="24"/>
          <w:lang w:val="en-US"/>
        </w:rPr>
        <w:t xml:space="preserve"> </w:t>
      </w:r>
      <w:r w:rsidR="00DF0941" w:rsidRPr="00283BD7">
        <w:rPr>
          <w:sz w:val="24"/>
          <w:szCs w:val="24"/>
          <w:lang w:val="en-US"/>
        </w:rPr>
        <w:t xml:space="preserve">opening as </w:t>
      </w:r>
      <w:r w:rsidR="00B32D18" w:rsidRPr="00283BD7">
        <w:rPr>
          <w:sz w:val="24"/>
          <w:szCs w:val="24"/>
          <w:lang w:val="en-US"/>
        </w:rPr>
        <w:t xml:space="preserve">a result of what Robert Levine has characterized as “Free Ride” in </w:t>
      </w:r>
      <w:r w:rsidR="002536EE" w:rsidRPr="00283BD7">
        <w:rPr>
          <w:sz w:val="24"/>
          <w:szCs w:val="24"/>
          <w:lang w:val="en-US"/>
        </w:rPr>
        <w:t>the</w:t>
      </w:r>
      <w:r w:rsidR="00B32D18" w:rsidRPr="00283BD7">
        <w:rPr>
          <w:sz w:val="24"/>
          <w:szCs w:val="24"/>
          <w:lang w:val="en-US"/>
        </w:rPr>
        <w:t xml:space="preserve"> book </w:t>
      </w:r>
      <w:r w:rsidR="002536EE" w:rsidRPr="00283BD7">
        <w:rPr>
          <w:sz w:val="24"/>
          <w:szCs w:val="24"/>
          <w:lang w:val="en-US"/>
        </w:rPr>
        <w:t xml:space="preserve">in which he </w:t>
      </w:r>
      <w:r w:rsidR="00B32D18" w:rsidRPr="00283BD7">
        <w:rPr>
          <w:sz w:val="24"/>
          <w:szCs w:val="24"/>
          <w:lang w:val="en-US"/>
        </w:rPr>
        <w:t>present</w:t>
      </w:r>
      <w:r w:rsidR="002536EE" w:rsidRPr="00283BD7">
        <w:rPr>
          <w:sz w:val="24"/>
          <w:szCs w:val="24"/>
          <w:lang w:val="en-US"/>
        </w:rPr>
        <w:t>ed</w:t>
      </w:r>
      <w:r w:rsidR="00B32D18" w:rsidRPr="00283BD7">
        <w:rPr>
          <w:sz w:val="24"/>
          <w:szCs w:val="24"/>
          <w:lang w:val="en-US"/>
        </w:rPr>
        <w:t xml:space="preserve"> the tactics of </w:t>
      </w:r>
      <w:r w:rsidR="00D95666" w:rsidRPr="00283BD7">
        <w:rPr>
          <w:sz w:val="24"/>
          <w:szCs w:val="24"/>
          <w:lang w:val="en-US"/>
        </w:rPr>
        <w:t xml:space="preserve">the </w:t>
      </w:r>
      <w:r w:rsidR="00B32D18" w:rsidRPr="00283BD7">
        <w:rPr>
          <w:sz w:val="24"/>
          <w:szCs w:val="24"/>
          <w:lang w:val="en-US"/>
        </w:rPr>
        <w:t>influential online intermediaries</w:t>
      </w:r>
      <w:r w:rsidR="00B32D18" w:rsidRPr="00283BD7">
        <w:rPr>
          <w:rStyle w:val="Lbjegyzet-hivatkozs"/>
          <w:sz w:val="24"/>
          <w:szCs w:val="24"/>
          <w:lang w:val="en-US"/>
        </w:rPr>
        <w:footnoteReference w:id="8"/>
      </w:r>
      <w:r w:rsidR="00B32D18" w:rsidRPr="00283BD7">
        <w:rPr>
          <w:sz w:val="24"/>
          <w:szCs w:val="24"/>
          <w:lang w:val="en-US"/>
        </w:rPr>
        <w:t xml:space="preserve">.    </w:t>
      </w:r>
      <w:r w:rsidR="0011113D" w:rsidRPr="00283BD7">
        <w:rPr>
          <w:sz w:val="24"/>
          <w:szCs w:val="24"/>
          <w:lang w:val="en-US"/>
        </w:rPr>
        <w:t xml:space="preserve">        </w:t>
      </w:r>
      <w:r w:rsidR="0018129B" w:rsidRPr="00283BD7">
        <w:rPr>
          <w:sz w:val="24"/>
          <w:szCs w:val="24"/>
          <w:lang w:val="en-US"/>
        </w:rPr>
        <w:t xml:space="preserve">    </w:t>
      </w:r>
      <w:r w:rsidRPr="00283BD7">
        <w:rPr>
          <w:sz w:val="24"/>
          <w:szCs w:val="24"/>
          <w:lang w:val="en-US"/>
        </w:rPr>
        <w:t xml:space="preserve">         </w:t>
      </w:r>
    </w:p>
    <w:p w14:paraId="2F512F26" w14:textId="77777777" w:rsidR="000B2C6A" w:rsidRPr="00283BD7" w:rsidRDefault="00FF46E3" w:rsidP="00FF46E3">
      <w:pPr>
        <w:jc w:val="both"/>
        <w:rPr>
          <w:b/>
          <w:sz w:val="24"/>
          <w:szCs w:val="24"/>
          <w:lang w:val="en-US"/>
        </w:rPr>
      </w:pPr>
      <w:r w:rsidRPr="00283BD7">
        <w:rPr>
          <w:sz w:val="24"/>
          <w:szCs w:val="24"/>
          <w:lang w:val="en-US"/>
        </w:rPr>
        <w:t xml:space="preserve"> </w:t>
      </w:r>
      <w:r w:rsidRPr="00283BD7">
        <w:rPr>
          <w:b/>
          <w:sz w:val="24"/>
          <w:szCs w:val="24"/>
          <w:lang w:val="en-US"/>
        </w:rPr>
        <w:t xml:space="preserve"> </w:t>
      </w:r>
    </w:p>
    <w:p w14:paraId="588A926E" w14:textId="414C52D6" w:rsidR="000F0875" w:rsidRPr="00283BD7" w:rsidRDefault="00DF0941" w:rsidP="00B32D18">
      <w:pPr>
        <w:jc w:val="both"/>
        <w:rPr>
          <w:sz w:val="24"/>
          <w:szCs w:val="24"/>
          <w:lang w:val="en-US"/>
        </w:rPr>
      </w:pPr>
      <w:r w:rsidRPr="004E145E">
        <w:rPr>
          <w:sz w:val="24"/>
          <w:szCs w:val="24"/>
          <w:lang w:val="en-US"/>
        </w:rPr>
        <w:t>Quite</w:t>
      </w:r>
      <w:r w:rsidRPr="00283BD7">
        <w:rPr>
          <w:sz w:val="24"/>
          <w:szCs w:val="24"/>
          <w:lang w:val="en-US"/>
        </w:rPr>
        <w:t xml:space="preserve"> significant differences of opinion emerged also in the </w:t>
      </w:r>
      <w:r w:rsidR="009A6842" w:rsidRPr="00283BD7">
        <w:rPr>
          <w:sz w:val="24"/>
          <w:szCs w:val="24"/>
          <w:lang w:val="en-US"/>
        </w:rPr>
        <w:t xml:space="preserve">European </w:t>
      </w:r>
      <w:r w:rsidRPr="00283BD7">
        <w:rPr>
          <w:sz w:val="24"/>
          <w:szCs w:val="24"/>
          <w:lang w:val="en-US"/>
        </w:rPr>
        <w:t>academic wor</w:t>
      </w:r>
      <w:r w:rsidR="009A6842" w:rsidRPr="00283BD7">
        <w:rPr>
          <w:sz w:val="24"/>
          <w:szCs w:val="24"/>
          <w:lang w:val="en-US"/>
        </w:rPr>
        <w:t>l</w:t>
      </w:r>
      <w:r w:rsidRPr="00283BD7">
        <w:rPr>
          <w:sz w:val="24"/>
          <w:szCs w:val="24"/>
          <w:lang w:val="en-US"/>
        </w:rPr>
        <w:t>d. It was normal in view of the great attention that the preparatory work of the DSM Direct</w:t>
      </w:r>
      <w:r w:rsidR="0088054B" w:rsidRPr="00283BD7">
        <w:rPr>
          <w:sz w:val="24"/>
          <w:szCs w:val="24"/>
          <w:lang w:val="en-US"/>
        </w:rPr>
        <w:t>ive</w:t>
      </w:r>
      <w:r w:rsidRPr="00283BD7">
        <w:rPr>
          <w:sz w:val="24"/>
          <w:szCs w:val="24"/>
          <w:lang w:val="en-US"/>
        </w:rPr>
        <w:t xml:space="preserve"> raised </w:t>
      </w:r>
      <w:r w:rsidR="00C95CDC" w:rsidRPr="00283BD7">
        <w:rPr>
          <w:sz w:val="24"/>
          <w:szCs w:val="24"/>
          <w:lang w:val="en-US"/>
        </w:rPr>
        <w:t>(and not only at copyright symposia, seminars, congresses, etc. but also in the media, the press and the blogs</w:t>
      </w:r>
      <w:r w:rsidR="00997B35" w:rsidRPr="00283BD7">
        <w:rPr>
          <w:sz w:val="24"/>
          <w:szCs w:val="24"/>
          <w:lang w:val="en-US"/>
        </w:rPr>
        <w:t>ph</w:t>
      </w:r>
      <w:r w:rsidR="00C95CDC" w:rsidRPr="00283BD7">
        <w:rPr>
          <w:sz w:val="24"/>
          <w:szCs w:val="24"/>
          <w:lang w:val="en-US"/>
        </w:rPr>
        <w:t>er</w:t>
      </w:r>
      <w:r w:rsidR="00997B35" w:rsidRPr="00283BD7">
        <w:rPr>
          <w:sz w:val="24"/>
          <w:szCs w:val="24"/>
          <w:lang w:val="en-US"/>
        </w:rPr>
        <w:t>e</w:t>
      </w:r>
      <w:r w:rsidR="00B11AFC" w:rsidRPr="00283BD7">
        <w:rPr>
          <w:sz w:val="24"/>
          <w:szCs w:val="24"/>
          <w:lang w:val="en-US"/>
        </w:rPr>
        <w:t xml:space="preserve">). </w:t>
      </w:r>
      <w:r w:rsidR="00524C04">
        <w:rPr>
          <w:sz w:val="24"/>
          <w:szCs w:val="24"/>
          <w:lang w:val="en-US"/>
        </w:rPr>
        <w:t xml:space="preserve">It </w:t>
      </w:r>
      <w:r w:rsidR="009A6842" w:rsidRPr="00283BD7">
        <w:rPr>
          <w:sz w:val="24"/>
          <w:szCs w:val="24"/>
          <w:lang w:val="en-US"/>
        </w:rPr>
        <w:t xml:space="preserve">not unexpected </w:t>
      </w:r>
      <w:r w:rsidR="00524C04">
        <w:rPr>
          <w:sz w:val="24"/>
          <w:szCs w:val="24"/>
          <w:lang w:val="en-US"/>
        </w:rPr>
        <w:t xml:space="preserve">either </w:t>
      </w:r>
      <w:r w:rsidR="009A6842" w:rsidRPr="00283BD7">
        <w:rPr>
          <w:sz w:val="24"/>
          <w:szCs w:val="24"/>
          <w:lang w:val="en-US"/>
        </w:rPr>
        <w:t xml:space="preserve">because serious </w:t>
      </w:r>
      <w:r w:rsidR="0088054B" w:rsidRPr="00283BD7">
        <w:rPr>
          <w:sz w:val="24"/>
          <w:szCs w:val="24"/>
          <w:lang w:val="en-US"/>
        </w:rPr>
        <w:t xml:space="preserve">differences </w:t>
      </w:r>
      <w:r w:rsidR="009A6842" w:rsidRPr="00283BD7">
        <w:rPr>
          <w:sz w:val="24"/>
          <w:szCs w:val="24"/>
          <w:lang w:val="en-US"/>
        </w:rPr>
        <w:t xml:space="preserve">had appeared also in relation </w:t>
      </w:r>
      <w:r w:rsidR="00006785">
        <w:rPr>
          <w:sz w:val="24"/>
          <w:szCs w:val="24"/>
          <w:lang w:val="en-US"/>
        </w:rPr>
        <w:t>to</w:t>
      </w:r>
      <w:r w:rsidR="00006785" w:rsidRPr="00283BD7">
        <w:rPr>
          <w:sz w:val="24"/>
          <w:szCs w:val="24"/>
          <w:lang w:val="en-US"/>
        </w:rPr>
        <w:t xml:space="preserve"> </w:t>
      </w:r>
      <w:r w:rsidR="009A6842" w:rsidRPr="00283BD7">
        <w:rPr>
          <w:sz w:val="24"/>
          <w:szCs w:val="24"/>
          <w:lang w:val="en-US"/>
        </w:rPr>
        <w:t xml:space="preserve">other issues of </w:t>
      </w:r>
      <w:r w:rsidR="0088054B" w:rsidRPr="00283BD7">
        <w:rPr>
          <w:sz w:val="24"/>
          <w:szCs w:val="24"/>
          <w:lang w:val="en-US"/>
        </w:rPr>
        <w:t xml:space="preserve">online uses </w:t>
      </w:r>
      <w:r w:rsidR="009A6842" w:rsidRPr="00283BD7">
        <w:rPr>
          <w:sz w:val="24"/>
          <w:szCs w:val="24"/>
          <w:lang w:val="en-US"/>
        </w:rPr>
        <w:t xml:space="preserve">of works and objects of related rights. For </w:t>
      </w:r>
      <w:r w:rsidR="00B11AFC" w:rsidRPr="00283BD7">
        <w:rPr>
          <w:sz w:val="24"/>
          <w:szCs w:val="24"/>
          <w:lang w:val="en-US"/>
        </w:rPr>
        <w:t xml:space="preserve">example, </w:t>
      </w:r>
      <w:r w:rsidR="00863788" w:rsidRPr="00283BD7">
        <w:rPr>
          <w:sz w:val="24"/>
          <w:szCs w:val="24"/>
          <w:lang w:val="en-US"/>
        </w:rPr>
        <w:t xml:space="preserve">in the </w:t>
      </w:r>
      <w:r w:rsidR="00863788" w:rsidRPr="00283BD7">
        <w:rPr>
          <w:i/>
          <w:sz w:val="24"/>
          <w:szCs w:val="24"/>
          <w:lang w:val="en-US"/>
        </w:rPr>
        <w:t>Svensson</w:t>
      </w:r>
      <w:r w:rsidR="00863788" w:rsidRPr="00283BD7">
        <w:rPr>
          <w:sz w:val="24"/>
          <w:szCs w:val="24"/>
          <w:lang w:val="en-US"/>
        </w:rPr>
        <w:t xml:space="preserve"> case</w:t>
      </w:r>
      <w:r w:rsidR="00524C04">
        <w:rPr>
          <w:sz w:val="24"/>
          <w:szCs w:val="24"/>
          <w:lang w:val="en-US"/>
        </w:rPr>
        <w:t xml:space="preserve"> – </w:t>
      </w:r>
      <w:r w:rsidR="00CF2F0B" w:rsidRPr="00283BD7">
        <w:rPr>
          <w:sz w:val="24"/>
          <w:szCs w:val="24"/>
          <w:lang w:val="en-US"/>
        </w:rPr>
        <w:t xml:space="preserve">concerning the </w:t>
      </w:r>
      <w:r w:rsidR="00CF7400" w:rsidRPr="00283BD7">
        <w:rPr>
          <w:sz w:val="24"/>
          <w:szCs w:val="24"/>
          <w:lang w:val="en-US"/>
        </w:rPr>
        <w:t>question</w:t>
      </w:r>
      <w:r w:rsidR="009A6842" w:rsidRPr="00283BD7">
        <w:rPr>
          <w:sz w:val="24"/>
          <w:szCs w:val="24"/>
          <w:lang w:val="en-US"/>
        </w:rPr>
        <w:t>s</w:t>
      </w:r>
      <w:r w:rsidR="00CF2F0B" w:rsidRPr="00283BD7">
        <w:rPr>
          <w:sz w:val="24"/>
          <w:szCs w:val="24"/>
          <w:lang w:val="en-US"/>
        </w:rPr>
        <w:t xml:space="preserve"> of</w:t>
      </w:r>
      <w:r w:rsidR="00CF7400" w:rsidRPr="00283BD7">
        <w:rPr>
          <w:sz w:val="24"/>
          <w:szCs w:val="24"/>
          <w:lang w:val="en-US"/>
        </w:rPr>
        <w:t xml:space="preserve"> whether or not </w:t>
      </w:r>
      <w:r w:rsidR="005A67A3" w:rsidRPr="00283BD7">
        <w:rPr>
          <w:sz w:val="24"/>
          <w:szCs w:val="24"/>
          <w:lang w:val="en-US"/>
        </w:rPr>
        <w:t>hyperlink</w:t>
      </w:r>
      <w:r w:rsidR="00CF7400" w:rsidRPr="00283BD7">
        <w:rPr>
          <w:sz w:val="24"/>
          <w:szCs w:val="24"/>
          <w:lang w:val="en-US"/>
        </w:rPr>
        <w:t xml:space="preserve">ing may be </w:t>
      </w:r>
      <w:r w:rsidR="00CF2F0B" w:rsidRPr="00283BD7">
        <w:rPr>
          <w:sz w:val="24"/>
          <w:szCs w:val="24"/>
          <w:lang w:val="en-US"/>
        </w:rPr>
        <w:t xml:space="preserve">regarded as </w:t>
      </w:r>
      <w:r w:rsidR="00CF7400" w:rsidRPr="00283BD7">
        <w:rPr>
          <w:sz w:val="24"/>
          <w:szCs w:val="24"/>
          <w:lang w:val="en-US"/>
        </w:rPr>
        <w:t xml:space="preserve">an act of interactive making </w:t>
      </w:r>
      <w:r w:rsidR="00CF2F0B" w:rsidRPr="00283BD7">
        <w:rPr>
          <w:sz w:val="24"/>
          <w:szCs w:val="24"/>
          <w:lang w:val="en-US"/>
        </w:rPr>
        <w:t>a</w:t>
      </w:r>
      <w:r w:rsidR="00CF7400" w:rsidRPr="00283BD7">
        <w:rPr>
          <w:sz w:val="24"/>
          <w:szCs w:val="24"/>
          <w:lang w:val="en-US"/>
        </w:rPr>
        <w:t>vailable to the public</w:t>
      </w:r>
      <w:r w:rsidR="00524C04">
        <w:rPr>
          <w:sz w:val="24"/>
          <w:szCs w:val="24"/>
          <w:lang w:val="en-US"/>
        </w:rPr>
        <w:t xml:space="preserve">, </w:t>
      </w:r>
      <w:r w:rsidR="00F538B5">
        <w:rPr>
          <w:sz w:val="24"/>
          <w:szCs w:val="24"/>
          <w:lang w:val="en-US"/>
        </w:rPr>
        <w:t>and even more importantly</w:t>
      </w:r>
      <w:r w:rsidR="00524C04">
        <w:rPr>
          <w:sz w:val="24"/>
          <w:szCs w:val="24"/>
          <w:lang w:val="en-US"/>
        </w:rPr>
        <w:t>,</w:t>
      </w:r>
      <w:r w:rsidR="00F538B5">
        <w:rPr>
          <w:sz w:val="24"/>
          <w:szCs w:val="24"/>
          <w:lang w:val="en-US"/>
        </w:rPr>
        <w:t xml:space="preserve"> whether such </w:t>
      </w:r>
      <w:r w:rsidR="00524C04">
        <w:rPr>
          <w:sz w:val="24"/>
          <w:szCs w:val="24"/>
          <w:lang w:val="en-US"/>
        </w:rPr>
        <w:t xml:space="preserve">an </w:t>
      </w:r>
      <w:r w:rsidR="00F538B5">
        <w:rPr>
          <w:sz w:val="24"/>
          <w:szCs w:val="24"/>
          <w:lang w:val="en-US"/>
        </w:rPr>
        <w:t>act take</w:t>
      </w:r>
      <w:r w:rsidR="00524C04">
        <w:rPr>
          <w:sz w:val="24"/>
          <w:szCs w:val="24"/>
          <w:lang w:val="en-US"/>
        </w:rPr>
        <w:t>s</w:t>
      </w:r>
      <w:r w:rsidR="00F538B5">
        <w:rPr>
          <w:sz w:val="24"/>
          <w:szCs w:val="24"/>
          <w:lang w:val="en-US"/>
        </w:rPr>
        <w:t xml:space="preserve"> place </w:t>
      </w:r>
      <w:r w:rsidR="00524C04">
        <w:rPr>
          <w:sz w:val="24"/>
          <w:szCs w:val="24"/>
          <w:lang w:val="en-US"/>
        </w:rPr>
        <w:t xml:space="preserve">already </w:t>
      </w:r>
      <w:r w:rsidR="00F538B5">
        <w:rPr>
          <w:sz w:val="24"/>
          <w:szCs w:val="24"/>
          <w:lang w:val="en-US"/>
        </w:rPr>
        <w:t xml:space="preserve">with </w:t>
      </w:r>
      <w:r w:rsidR="00524C04">
        <w:rPr>
          <w:sz w:val="24"/>
          <w:szCs w:val="24"/>
          <w:lang w:val="en-US"/>
        </w:rPr>
        <w:t xml:space="preserve">the </w:t>
      </w:r>
      <w:r w:rsidR="00F538B5">
        <w:rPr>
          <w:sz w:val="24"/>
          <w:szCs w:val="24"/>
          <w:lang w:val="en-US"/>
        </w:rPr>
        <w:t xml:space="preserve">making available </w:t>
      </w:r>
      <w:r w:rsidR="00524C04">
        <w:rPr>
          <w:sz w:val="24"/>
          <w:szCs w:val="24"/>
          <w:lang w:val="en-US"/>
        </w:rPr>
        <w:t xml:space="preserve">of the contents </w:t>
      </w:r>
      <w:r w:rsidR="00F538B5">
        <w:rPr>
          <w:sz w:val="24"/>
          <w:szCs w:val="24"/>
          <w:lang w:val="en-US"/>
        </w:rPr>
        <w:t>or also actual transmission is needed</w:t>
      </w:r>
      <w:r w:rsidR="00524C04">
        <w:rPr>
          <w:sz w:val="24"/>
          <w:szCs w:val="24"/>
          <w:lang w:val="en-US"/>
        </w:rPr>
        <w:t xml:space="preserve"> for its completion – the views  diametrically differed </w:t>
      </w:r>
      <w:r w:rsidR="00CF2F0B" w:rsidRPr="00283BD7">
        <w:rPr>
          <w:sz w:val="24"/>
          <w:szCs w:val="24"/>
          <w:lang w:val="en-US"/>
        </w:rPr>
        <w:t xml:space="preserve">between </w:t>
      </w:r>
      <w:r w:rsidR="005A67A3" w:rsidRPr="00283BD7">
        <w:rPr>
          <w:sz w:val="24"/>
          <w:szCs w:val="24"/>
          <w:lang w:val="en-US"/>
        </w:rPr>
        <w:t xml:space="preserve">a group of European academics </w:t>
      </w:r>
      <w:r w:rsidR="00CF7400" w:rsidRPr="00283BD7">
        <w:rPr>
          <w:sz w:val="24"/>
          <w:szCs w:val="24"/>
          <w:lang w:val="en-US"/>
        </w:rPr>
        <w:t xml:space="preserve">having formed </w:t>
      </w:r>
      <w:r w:rsidR="00AF665C" w:rsidRPr="00283BD7">
        <w:rPr>
          <w:sz w:val="24"/>
          <w:szCs w:val="24"/>
          <w:lang w:val="en-US"/>
        </w:rPr>
        <w:t>a</w:t>
      </w:r>
      <w:r w:rsidR="00C463EE" w:rsidRPr="00283BD7">
        <w:rPr>
          <w:sz w:val="24"/>
          <w:szCs w:val="24"/>
          <w:lang w:val="en-US"/>
        </w:rPr>
        <w:t xml:space="preserve"> separate </w:t>
      </w:r>
      <w:r w:rsidR="005A67A3" w:rsidRPr="00283BD7">
        <w:rPr>
          <w:sz w:val="24"/>
          <w:szCs w:val="24"/>
          <w:lang w:val="en-US"/>
        </w:rPr>
        <w:t>European Copyright Association</w:t>
      </w:r>
      <w:r w:rsidR="00863788" w:rsidRPr="00283BD7">
        <w:rPr>
          <w:sz w:val="24"/>
          <w:szCs w:val="24"/>
          <w:lang w:val="en-US"/>
        </w:rPr>
        <w:t xml:space="preserve"> (ECA)</w:t>
      </w:r>
      <w:r w:rsidR="00F538B5">
        <w:rPr>
          <w:rStyle w:val="Lbjegyzet-hivatkozs"/>
          <w:sz w:val="24"/>
          <w:szCs w:val="24"/>
          <w:lang w:val="en-US"/>
        </w:rPr>
        <w:footnoteReference w:id="9"/>
      </w:r>
      <w:r w:rsidR="005A67A3" w:rsidRPr="00283BD7">
        <w:rPr>
          <w:sz w:val="24"/>
          <w:szCs w:val="24"/>
          <w:lang w:val="en-US"/>
        </w:rPr>
        <w:t xml:space="preserve"> and the Executive Committee of the </w:t>
      </w:r>
      <w:r w:rsidR="00524C04">
        <w:rPr>
          <w:sz w:val="24"/>
          <w:szCs w:val="24"/>
          <w:lang w:val="en-US"/>
        </w:rPr>
        <w:t xml:space="preserve">International </w:t>
      </w:r>
      <w:r w:rsidR="005A67A3" w:rsidRPr="00283BD7">
        <w:rPr>
          <w:sz w:val="24"/>
          <w:szCs w:val="24"/>
          <w:lang w:val="en-US"/>
        </w:rPr>
        <w:t>Literary and Artistic Association (ALAI)</w:t>
      </w:r>
      <w:r w:rsidR="00CF7400" w:rsidRPr="00283BD7">
        <w:rPr>
          <w:rStyle w:val="Lbjegyzet-hivatkozs"/>
          <w:sz w:val="24"/>
          <w:szCs w:val="24"/>
          <w:lang w:val="en-US"/>
        </w:rPr>
        <w:footnoteReference w:id="10"/>
      </w:r>
      <w:r w:rsidR="00CF7400" w:rsidRPr="00283BD7">
        <w:rPr>
          <w:sz w:val="24"/>
          <w:szCs w:val="24"/>
          <w:lang w:val="en-US"/>
        </w:rPr>
        <w:t xml:space="preserve">, </w:t>
      </w:r>
      <w:r w:rsidR="00524C04">
        <w:rPr>
          <w:sz w:val="24"/>
          <w:szCs w:val="24"/>
          <w:lang w:val="en-US"/>
        </w:rPr>
        <w:t xml:space="preserve">with </w:t>
      </w:r>
      <w:r w:rsidR="00CF7400" w:rsidRPr="00283BD7">
        <w:rPr>
          <w:sz w:val="24"/>
          <w:szCs w:val="24"/>
          <w:lang w:val="en-US"/>
        </w:rPr>
        <w:t xml:space="preserve">a number </w:t>
      </w:r>
      <w:r w:rsidR="005A67A3" w:rsidRPr="00283BD7">
        <w:rPr>
          <w:sz w:val="24"/>
          <w:szCs w:val="24"/>
          <w:lang w:val="en-US"/>
        </w:rPr>
        <w:t>of well-known academics</w:t>
      </w:r>
      <w:r w:rsidR="00524C04">
        <w:rPr>
          <w:sz w:val="24"/>
          <w:szCs w:val="24"/>
          <w:lang w:val="en-US"/>
        </w:rPr>
        <w:t xml:space="preserve"> in the latter’s membership </w:t>
      </w:r>
      <w:r w:rsidR="00AF665C" w:rsidRPr="00283BD7">
        <w:rPr>
          <w:sz w:val="24"/>
          <w:szCs w:val="24"/>
          <w:lang w:val="en-US"/>
        </w:rPr>
        <w:t>who (</w:t>
      </w:r>
      <w:r w:rsidR="005A67A3" w:rsidRPr="00283BD7">
        <w:rPr>
          <w:sz w:val="24"/>
          <w:szCs w:val="24"/>
          <w:lang w:val="en-US"/>
        </w:rPr>
        <w:t xml:space="preserve">although </w:t>
      </w:r>
      <w:r w:rsidR="00C463EE" w:rsidRPr="00283BD7">
        <w:rPr>
          <w:sz w:val="24"/>
          <w:szCs w:val="24"/>
          <w:lang w:val="en-US"/>
        </w:rPr>
        <w:t xml:space="preserve">there are national groups of </w:t>
      </w:r>
      <w:r w:rsidR="005A67A3" w:rsidRPr="00283BD7">
        <w:rPr>
          <w:sz w:val="24"/>
          <w:szCs w:val="24"/>
          <w:lang w:val="en-US"/>
        </w:rPr>
        <w:t>the Association</w:t>
      </w:r>
      <w:r w:rsidR="00CF2F0B" w:rsidRPr="00283BD7">
        <w:rPr>
          <w:sz w:val="24"/>
          <w:szCs w:val="24"/>
          <w:lang w:val="en-US"/>
        </w:rPr>
        <w:t xml:space="preserve"> </w:t>
      </w:r>
      <w:r w:rsidR="005A67A3" w:rsidRPr="00283BD7">
        <w:rPr>
          <w:sz w:val="24"/>
          <w:szCs w:val="24"/>
          <w:lang w:val="en-US"/>
        </w:rPr>
        <w:t xml:space="preserve">also </w:t>
      </w:r>
      <w:r w:rsidR="00C463EE" w:rsidRPr="00283BD7">
        <w:rPr>
          <w:sz w:val="24"/>
          <w:szCs w:val="24"/>
          <w:lang w:val="en-US"/>
        </w:rPr>
        <w:t>in</w:t>
      </w:r>
      <w:r w:rsidR="005A67A3" w:rsidRPr="00283BD7">
        <w:rPr>
          <w:sz w:val="24"/>
          <w:szCs w:val="24"/>
          <w:lang w:val="en-US"/>
        </w:rPr>
        <w:t xml:space="preserve"> other continents</w:t>
      </w:r>
      <w:r w:rsidR="00AF665C" w:rsidRPr="00283BD7">
        <w:rPr>
          <w:sz w:val="24"/>
          <w:szCs w:val="24"/>
          <w:lang w:val="en-US"/>
        </w:rPr>
        <w:t>)</w:t>
      </w:r>
      <w:r w:rsidR="005A67A3" w:rsidRPr="00283BD7">
        <w:rPr>
          <w:sz w:val="24"/>
          <w:szCs w:val="24"/>
          <w:lang w:val="en-US"/>
        </w:rPr>
        <w:t xml:space="preserve"> </w:t>
      </w:r>
      <w:r w:rsidR="00AF665C" w:rsidRPr="00283BD7">
        <w:rPr>
          <w:sz w:val="24"/>
          <w:szCs w:val="24"/>
          <w:lang w:val="en-US"/>
        </w:rPr>
        <w:t xml:space="preserve">in majority, </w:t>
      </w:r>
      <w:r w:rsidR="00CF2F0B" w:rsidRPr="00283BD7">
        <w:rPr>
          <w:sz w:val="24"/>
          <w:szCs w:val="24"/>
          <w:lang w:val="en-US"/>
        </w:rPr>
        <w:t xml:space="preserve">are </w:t>
      </w:r>
      <w:r w:rsidR="00AF665C" w:rsidRPr="00283BD7">
        <w:rPr>
          <w:sz w:val="24"/>
          <w:szCs w:val="24"/>
          <w:lang w:val="en-US"/>
        </w:rPr>
        <w:t xml:space="preserve">also </w:t>
      </w:r>
      <w:r w:rsidR="005A67A3" w:rsidRPr="00283BD7">
        <w:rPr>
          <w:sz w:val="24"/>
          <w:szCs w:val="24"/>
          <w:lang w:val="en-US"/>
        </w:rPr>
        <w:t>Europeans. There was no problem</w:t>
      </w:r>
      <w:r w:rsidR="00CF7400" w:rsidRPr="00283BD7">
        <w:rPr>
          <w:sz w:val="24"/>
          <w:szCs w:val="24"/>
          <w:lang w:val="en-US"/>
        </w:rPr>
        <w:t xml:space="preserve"> with this. It</w:t>
      </w:r>
      <w:r w:rsidR="00AF665C" w:rsidRPr="00283BD7">
        <w:rPr>
          <w:sz w:val="24"/>
          <w:szCs w:val="24"/>
          <w:lang w:val="en-US"/>
        </w:rPr>
        <w:t xml:space="preserve"> happened that </w:t>
      </w:r>
      <w:r w:rsidR="005A67A3" w:rsidRPr="00283BD7">
        <w:rPr>
          <w:sz w:val="24"/>
          <w:szCs w:val="24"/>
          <w:lang w:val="en-US"/>
        </w:rPr>
        <w:t>the European Court of Justice (CJEU</w:t>
      </w:r>
      <w:r w:rsidR="00863788" w:rsidRPr="00283BD7">
        <w:rPr>
          <w:sz w:val="24"/>
          <w:szCs w:val="24"/>
          <w:lang w:val="en-US"/>
        </w:rPr>
        <w:t>), in th</w:t>
      </w:r>
      <w:r w:rsidR="00E4343E">
        <w:rPr>
          <w:sz w:val="24"/>
          <w:szCs w:val="24"/>
          <w:lang w:val="en-US"/>
        </w:rPr>
        <w:t xml:space="preserve">e said </w:t>
      </w:r>
      <w:r w:rsidR="00863788" w:rsidRPr="00283BD7">
        <w:rPr>
          <w:sz w:val="24"/>
          <w:szCs w:val="24"/>
          <w:lang w:val="en-US"/>
        </w:rPr>
        <w:t>aspect</w:t>
      </w:r>
      <w:r w:rsidR="00E4343E">
        <w:rPr>
          <w:sz w:val="24"/>
          <w:szCs w:val="24"/>
          <w:lang w:val="en-US"/>
        </w:rPr>
        <w:t>s</w:t>
      </w:r>
      <w:r w:rsidR="00863788" w:rsidRPr="00283BD7">
        <w:rPr>
          <w:sz w:val="24"/>
          <w:szCs w:val="24"/>
          <w:lang w:val="en-US"/>
        </w:rPr>
        <w:t xml:space="preserve">, </w:t>
      </w:r>
      <w:r w:rsidR="005A67A3" w:rsidRPr="00283BD7">
        <w:rPr>
          <w:sz w:val="24"/>
          <w:szCs w:val="24"/>
          <w:lang w:val="en-US"/>
        </w:rPr>
        <w:t>adopt</w:t>
      </w:r>
      <w:r w:rsidR="00AF665C" w:rsidRPr="00283BD7">
        <w:rPr>
          <w:sz w:val="24"/>
          <w:szCs w:val="24"/>
          <w:lang w:val="en-US"/>
        </w:rPr>
        <w:t>ed</w:t>
      </w:r>
      <w:r w:rsidR="008B48EC" w:rsidRPr="00283BD7">
        <w:rPr>
          <w:sz w:val="24"/>
          <w:szCs w:val="24"/>
          <w:lang w:val="en-US"/>
        </w:rPr>
        <w:t xml:space="preserve"> </w:t>
      </w:r>
      <w:r w:rsidR="00863788" w:rsidRPr="00283BD7">
        <w:rPr>
          <w:sz w:val="24"/>
          <w:szCs w:val="24"/>
          <w:lang w:val="en-US"/>
        </w:rPr>
        <w:t xml:space="preserve">a </w:t>
      </w:r>
      <w:r w:rsidR="008B48EC" w:rsidRPr="00283BD7">
        <w:rPr>
          <w:sz w:val="24"/>
          <w:szCs w:val="24"/>
          <w:lang w:val="en-US"/>
        </w:rPr>
        <w:t xml:space="preserve">judgement </w:t>
      </w:r>
      <w:r w:rsidR="00AF665C" w:rsidRPr="00283BD7">
        <w:rPr>
          <w:sz w:val="24"/>
          <w:szCs w:val="24"/>
          <w:lang w:val="en-US"/>
        </w:rPr>
        <w:t>that</w:t>
      </w:r>
      <w:r w:rsidR="008B48EC" w:rsidRPr="00283BD7">
        <w:rPr>
          <w:sz w:val="24"/>
          <w:szCs w:val="24"/>
          <w:lang w:val="en-US"/>
        </w:rPr>
        <w:t xml:space="preserve"> basically corresponded to </w:t>
      </w:r>
      <w:r w:rsidR="005A67A3" w:rsidRPr="00283BD7">
        <w:rPr>
          <w:sz w:val="24"/>
          <w:szCs w:val="24"/>
          <w:lang w:val="en-US"/>
        </w:rPr>
        <w:t xml:space="preserve">the </w:t>
      </w:r>
      <w:r w:rsidR="008B48EC" w:rsidRPr="00283BD7">
        <w:rPr>
          <w:sz w:val="24"/>
          <w:szCs w:val="24"/>
          <w:lang w:val="en-US"/>
        </w:rPr>
        <w:t xml:space="preserve">analysis made and the </w:t>
      </w:r>
      <w:r w:rsidR="005A67A3" w:rsidRPr="00283BD7">
        <w:rPr>
          <w:sz w:val="24"/>
          <w:szCs w:val="24"/>
          <w:lang w:val="en-US"/>
        </w:rPr>
        <w:t>position expressed on behalf of ALAI</w:t>
      </w:r>
      <w:r w:rsidR="00F538B5">
        <w:rPr>
          <w:rStyle w:val="Lbjegyzet-hivatkozs"/>
          <w:sz w:val="24"/>
          <w:szCs w:val="24"/>
          <w:lang w:val="en-US"/>
        </w:rPr>
        <w:footnoteReference w:id="11"/>
      </w:r>
      <w:r w:rsidR="00863788" w:rsidRPr="00283BD7">
        <w:rPr>
          <w:sz w:val="24"/>
          <w:szCs w:val="24"/>
          <w:lang w:val="en-US"/>
        </w:rPr>
        <w:t>. A</w:t>
      </w:r>
      <w:r w:rsidR="00C463EE" w:rsidRPr="00283BD7">
        <w:rPr>
          <w:sz w:val="24"/>
          <w:szCs w:val="24"/>
          <w:lang w:val="en-US"/>
        </w:rPr>
        <w:t>nd,</w:t>
      </w:r>
      <w:r w:rsidR="005A67A3" w:rsidRPr="00283BD7">
        <w:rPr>
          <w:sz w:val="24"/>
          <w:szCs w:val="24"/>
          <w:lang w:val="en-US"/>
        </w:rPr>
        <w:t xml:space="preserve"> of course, </w:t>
      </w:r>
      <w:r w:rsidR="00E4343E">
        <w:rPr>
          <w:sz w:val="24"/>
          <w:szCs w:val="24"/>
          <w:lang w:val="en-US"/>
        </w:rPr>
        <w:t xml:space="preserve">this </w:t>
      </w:r>
      <w:r w:rsidR="00AF665C" w:rsidRPr="00283BD7">
        <w:rPr>
          <w:sz w:val="24"/>
          <w:szCs w:val="24"/>
          <w:lang w:val="en-US"/>
        </w:rPr>
        <w:t>was</w:t>
      </w:r>
      <w:r w:rsidR="008B48EC" w:rsidRPr="00283BD7">
        <w:rPr>
          <w:sz w:val="24"/>
          <w:szCs w:val="24"/>
          <w:lang w:val="en-US"/>
        </w:rPr>
        <w:t xml:space="preserve"> </w:t>
      </w:r>
      <w:r w:rsidR="005A67A3" w:rsidRPr="00283BD7">
        <w:rPr>
          <w:sz w:val="24"/>
          <w:szCs w:val="24"/>
          <w:lang w:val="en-US"/>
        </w:rPr>
        <w:t xml:space="preserve">accepted </w:t>
      </w:r>
      <w:r w:rsidR="00863788" w:rsidRPr="00283BD7">
        <w:rPr>
          <w:sz w:val="24"/>
          <w:szCs w:val="24"/>
          <w:lang w:val="en-US"/>
        </w:rPr>
        <w:t xml:space="preserve">by </w:t>
      </w:r>
      <w:r w:rsidR="00C463EE" w:rsidRPr="00283BD7">
        <w:rPr>
          <w:sz w:val="24"/>
          <w:szCs w:val="24"/>
          <w:lang w:val="en-US"/>
        </w:rPr>
        <w:t>the other group of European academics</w:t>
      </w:r>
      <w:r w:rsidR="00CF7400" w:rsidRPr="00283BD7">
        <w:rPr>
          <w:sz w:val="24"/>
          <w:szCs w:val="24"/>
          <w:lang w:val="en-US"/>
        </w:rPr>
        <w:t>.</w:t>
      </w:r>
      <w:r w:rsidR="008B48EC" w:rsidRPr="00283BD7">
        <w:rPr>
          <w:sz w:val="24"/>
          <w:szCs w:val="24"/>
          <w:lang w:val="en-US"/>
        </w:rPr>
        <w:t xml:space="preserve"> (</w:t>
      </w:r>
      <w:r w:rsidR="00E4343E">
        <w:rPr>
          <w:sz w:val="24"/>
          <w:szCs w:val="24"/>
          <w:lang w:val="en-US"/>
        </w:rPr>
        <w:t>I</w:t>
      </w:r>
      <w:r w:rsidR="00E50476">
        <w:rPr>
          <w:sz w:val="24"/>
          <w:szCs w:val="24"/>
          <w:lang w:val="en-US"/>
        </w:rPr>
        <w:t>n</w:t>
      </w:r>
      <w:r w:rsidR="00E4343E">
        <w:rPr>
          <w:sz w:val="24"/>
          <w:szCs w:val="24"/>
          <w:lang w:val="en-US"/>
        </w:rPr>
        <w:t xml:space="preserve"> fact, t</w:t>
      </w:r>
      <w:r w:rsidR="00C463EE" w:rsidRPr="00283BD7">
        <w:rPr>
          <w:sz w:val="24"/>
          <w:szCs w:val="24"/>
          <w:lang w:val="en-US"/>
        </w:rPr>
        <w:t xml:space="preserve">here is </w:t>
      </w:r>
      <w:r w:rsidR="00E4343E">
        <w:rPr>
          <w:sz w:val="24"/>
          <w:szCs w:val="24"/>
          <w:lang w:val="en-US"/>
        </w:rPr>
        <w:t xml:space="preserve">an </w:t>
      </w:r>
      <w:r w:rsidR="00CF2F0B" w:rsidRPr="00283BD7">
        <w:rPr>
          <w:sz w:val="24"/>
          <w:szCs w:val="24"/>
          <w:lang w:val="en-US"/>
        </w:rPr>
        <w:t>overlap between the two groups of academics</w:t>
      </w:r>
      <w:r w:rsidR="006F4920" w:rsidRPr="00283BD7">
        <w:rPr>
          <w:sz w:val="24"/>
          <w:szCs w:val="24"/>
          <w:lang w:val="en-US"/>
        </w:rPr>
        <w:t>;</w:t>
      </w:r>
      <w:r w:rsidR="00CF2F0B" w:rsidRPr="00283BD7">
        <w:rPr>
          <w:sz w:val="24"/>
          <w:szCs w:val="24"/>
          <w:lang w:val="en-US"/>
        </w:rPr>
        <w:t xml:space="preserve"> </w:t>
      </w:r>
      <w:r w:rsidR="008B48EC" w:rsidRPr="00283BD7">
        <w:rPr>
          <w:sz w:val="24"/>
          <w:szCs w:val="24"/>
          <w:lang w:val="en-US"/>
        </w:rPr>
        <w:t xml:space="preserve">some of the </w:t>
      </w:r>
      <w:r w:rsidR="00530606" w:rsidRPr="00283BD7">
        <w:rPr>
          <w:sz w:val="24"/>
          <w:szCs w:val="24"/>
          <w:lang w:val="en-US"/>
        </w:rPr>
        <w:t xml:space="preserve">members of the </w:t>
      </w:r>
      <w:r w:rsidR="00E4343E">
        <w:rPr>
          <w:sz w:val="24"/>
          <w:szCs w:val="24"/>
          <w:lang w:val="en-US"/>
        </w:rPr>
        <w:t>ECA</w:t>
      </w:r>
      <w:r w:rsidR="00530606" w:rsidRPr="00283BD7">
        <w:rPr>
          <w:sz w:val="24"/>
          <w:szCs w:val="24"/>
          <w:lang w:val="en-US"/>
        </w:rPr>
        <w:t xml:space="preserve"> are also members of the ALAI Executive Committee</w:t>
      </w:r>
      <w:r w:rsidR="00863788" w:rsidRPr="00283BD7">
        <w:rPr>
          <w:sz w:val="24"/>
          <w:szCs w:val="24"/>
          <w:lang w:val="en-US"/>
        </w:rPr>
        <w:t>,</w:t>
      </w:r>
      <w:r w:rsidR="00530606" w:rsidRPr="00283BD7">
        <w:rPr>
          <w:sz w:val="24"/>
          <w:szCs w:val="24"/>
          <w:lang w:val="en-US"/>
        </w:rPr>
        <w:t xml:space="preserve"> where they work together </w:t>
      </w:r>
      <w:r w:rsidR="006F4920" w:rsidRPr="00283BD7">
        <w:rPr>
          <w:sz w:val="24"/>
          <w:szCs w:val="24"/>
          <w:lang w:val="en-US"/>
        </w:rPr>
        <w:t>smoothly</w:t>
      </w:r>
      <w:r w:rsidR="00530606" w:rsidRPr="00283BD7">
        <w:rPr>
          <w:sz w:val="24"/>
          <w:szCs w:val="24"/>
          <w:lang w:val="en-US"/>
        </w:rPr>
        <w:t xml:space="preserve"> and in good atmosphere with all the other members under the able leadership of the Association)</w:t>
      </w:r>
      <w:r w:rsidR="00607AE8" w:rsidRPr="00283BD7">
        <w:rPr>
          <w:sz w:val="24"/>
          <w:szCs w:val="24"/>
          <w:lang w:val="en-US"/>
        </w:rPr>
        <w:t>.</w:t>
      </w:r>
      <w:r w:rsidR="00530606" w:rsidRPr="00283BD7">
        <w:rPr>
          <w:sz w:val="24"/>
          <w:szCs w:val="24"/>
          <w:lang w:val="en-US"/>
        </w:rPr>
        <w:t xml:space="preserve">   </w:t>
      </w:r>
    </w:p>
    <w:p w14:paraId="572066B1" w14:textId="77777777" w:rsidR="008B48EC" w:rsidRPr="00283BD7" w:rsidRDefault="008B48EC" w:rsidP="00B32D18">
      <w:pPr>
        <w:jc w:val="both"/>
        <w:rPr>
          <w:sz w:val="24"/>
          <w:szCs w:val="24"/>
          <w:lang w:val="en-US"/>
        </w:rPr>
      </w:pPr>
    </w:p>
    <w:p w14:paraId="11108140" w14:textId="2812BE20" w:rsidR="006F4920" w:rsidRPr="00283BD7" w:rsidRDefault="008B48EC" w:rsidP="00B32D18">
      <w:pPr>
        <w:jc w:val="both"/>
        <w:rPr>
          <w:sz w:val="24"/>
          <w:szCs w:val="24"/>
          <w:lang w:val="en-US"/>
        </w:rPr>
      </w:pPr>
      <w:r w:rsidRPr="00283BD7">
        <w:rPr>
          <w:sz w:val="24"/>
          <w:szCs w:val="24"/>
          <w:lang w:val="en-US"/>
        </w:rPr>
        <w:t xml:space="preserve">Therefore, it </w:t>
      </w:r>
      <w:r w:rsidR="00530606" w:rsidRPr="00283BD7">
        <w:rPr>
          <w:sz w:val="24"/>
          <w:szCs w:val="24"/>
          <w:lang w:val="en-US"/>
        </w:rPr>
        <w:t xml:space="preserve">was not a surprise that the views </w:t>
      </w:r>
      <w:r w:rsidR="00E1516F" w:rsidRPr="00283BD7">
        <w:rPr>
          <w:sz w:val="24"/>
          <w:szCs w:val="24"/>
          <w:lang w:val="en-US"/>
        </w:rPr>
        <w:t xml:space="preserve">also </w:t>
      </w:r>
      <w:r w:rsidR="00530606" w:rsidRPr="00283BD7">
        <w:rPr>
          <w:sz w:val="24"/>
          <w:szCs w:val="24"/>
          <w:lang w:val="en-US"/>
        </w:rPr>
        <w:t xml:space="preserve">differed between the </w:t>
      </w:r>
      <w:r w:rsidR="00C463EE" w:rsidRPr="00283BD7">
        <w:rPr>
          <w:sz w:val="24"/>
          <w:szCs w:val="24"/>
          <w:lang w:val="en-US"/>
        </w:rPr>
        <w:t xml:space="preserve">two groups of </w:t>
      </w:r>
      <w:r w:rsidR="00530606" w:rsidRPr="00283BD7">
        <w:rPr>
          <w:sz w:val="24"/>
          <w:szCs w:val="24"/>
          <w:lang w:val="en-US"/>
        </w:rPr>
        <w:t>European academics concerning Article 13 of the draft DSM Directive</w:t>
      </w:r>
      <w:r w:rsidR="006F4920" w:rsidRPr="00283BD7">
        <w:rPr>
          <w:sz w:val="24"/>
          <w:szCs w:val="24"/>
          <w:lang w:val="en-US"/>
        </w:rPr>
        <w:t xml:space="preserve"> – </w:t>
      </w:r>
      <w:r w:rsidR="00E1516F" w:rsidRPr="00283BD7">
        <w:rPr>
          <w:sz w:val="24"/>
          <w:szCs w:val="24"/>
          <w:lang w:val="en-US"/>
        </w:rPr>
        <w:t xml:space="preserve">later adopted, </w:t>
      </w:r>
      <w:r w:rsidR="00530606" w:rsidRPr="00283BD7">
        <w:rPr>
          <w:sz w:val="24"/>
          <w:szCs w:val="24"/>
          <w:lang w:val="en-US"/>
        </w:rPr>
        <w:t xml:space="preserve">with </w:t>
      </w:r>
      <w:r w:rsidR="00E1516F" w:rsidRPr="00283BD7">
        <w:rPr>
          <w:sz w:val="24"/>
          <w:szCs w:val="24"/>
          <w:lang w:val="en-US"/>
        </w:rPr>
        <w:t>some</w:t>
      </w:r>
      <w:r w:rsidR="00530606" w:rsidRPr="00283BD7">
        <w:rPr>
          <w:sz w:val="24"/>
          <w:szCs w:val="24"/>
          <w:lang w:val="en-US"/>
        </w:rPr>
        <w:t xml:space="preserve"> amendments</w:t>
      </w:r>
      <w:r w:rsidR="00E1516F" w:rsidRPr="00283BD7">
        <w:rPr>
          <w:sz w:val="24"/>
          <w:szCs w:val="24"/>
          <w:lang w:val="en-US"/>
        </w:rPr>
        <w:t>,</w:t>
      </w:r>
      <w:r w:rsidR="00530606" w:rsidRPr="00283BD7">
        <w:rPr>
          <w:sz w:val="24"/>
          <w:szCs w:val="24"/>
          <w:lang w:val="en-US"/>
        </w:rPr>
        <w:t xml:space="preserve"> as Article 17.  The main differences </w:t>
      </w:r>
      <w:r w:rsidR="00E640F2" w:rsidRPr="00283BD7">
        <w:rPr>
          <w:sz w:val="24"/>
          <w:szCs w:val="24"/>
          <w:lang w:val="en-US"/>
        </w:rPr>
        <w:t xml:space="preserve">concerned </w:t>
      </w:r>
      <w:r w:rsidR="00530606" w:rsidRPr="00283BD7">
        <w:rPr>
          <w:sz w:val="24"/>
          <w:szCs w:val="24"/>
          <w:lang w:val="en-US"/>
        </w:rPr>
        <w:t>th</w:t>
      </w:r>
      <w:r w:rsidR="00E4343E">
        <w:rPr>
          <w:sz w:val="24"/>
          <w:szCs w:val="24"/>
          <w:lang w:val="en-US"/>
        </w:rPr>
        <w:t>ose</w:t>
      </w:r>
      <w:r w:rsidR="00530606" w:rsidRPr="00283BD7">
        <w:rPr>
          <w:sz w:val="24"/>
          <w:szCs w:val="24"/>
          <w:lang w:val="en-US"/>
        </w:rPr>
        <w:t xml:space="preserve"> provisions </w:t>
      </w:r>
      <w:r w:rsidR="00E1516F" w:rsidRPr="00283BD7">
        <w:rPr>
          <w:sz w:val="24"/>
          <w:szCs w:val="24"/>
          <w:lang w:val="en-US"/>
        </w:rPr>
        <w:t xml:space="preserve">the purpose of which was </w:t>
      </w:r>
      <w:r w:rsidR="00530606" w:rsidRPr="00283BD7">
        <w:rPr>
          <w:sz w:val="24"/>
          <w:szCs w:val="24"/>
          <w:lang w:val="en-US"/>
        </w:rPr>
        <w:t xml:space="preserve">to </w:t>
      </w:r>
      <w:r w:rsidR="006F4920" w:rsidRPr="00283BD7">
        <w:rPr>
          <w:sz w:val="24"/>
          <w:szCs w:val="24"/>
          <w:lang w:val="en-US"/>
        </w:rPr>
        <w:t>guarantee</w:t>
      </w:r>
      <w:r w:rsidR="00607AE8" w:rsidRPr="00283BD7">
        <w:rPr>
          <w:sz w:val="24"/>
          <w:szCs w:val="24"/>
          <w:lang w:val="en-US"/>
        </w:rPr>
        <w:t xml:space="preserve"> </w:t>
      </w:r>
      <w:r w:rsidR="00530606" w:rsidRPr="00283BD7">
        <w:rPr>
          <w:sz w:val="24"/>
          <w:szCs w:val="24"/>
          <w:lang w:val="en-US"/>
        </w:rPr>
        <w:t xml:space="preserve">due balance of interests </w:t>
      </w:r>
      <w:r w:rsidR="00607AE8" w:rsidRPr="00283BD7">
        <w:rPr>
          <w:sz w:val="24"/>
          <w:szCs w:val="24"/>
          <w:lang w:val="en-US"/>
        </w:rPr>
        <w:t>between authors’ rights and the right to property as human rights, on the one hand, and other human rights (in particular</w:t>
      </w:r>
      <w:r w:rsidR="00BD4ADA" w:rsidRPr="00283BD7">
        <w:rPr>
          <w:sz w:val="24"/>
          <w:szCs w:val="24"/>
          <w:lang w:val="en-US"/>
        </w:rPr>
        <w:t>,</w:t>
      </w:r>
      <w:r w:rsidR="00607AE8" w:rsidRPr="00283BD7">
        <w:rPr>
          <w:sz w:val="24"/>
          <w:szCs w:val="24"/>
          <w:lang w:val="en-US"/>
        </w:rPr>
        <w:t xml:space="preserve"> the freedom of expression)</w:t>
      </w:r>
      <w:r w:rsidR="00E4343E">
        <w:rPr>
          <w:sz w:val="24"/>
          <w:szCs w:val="24"/>
          <w:lang w:val="en-US"/>
        </w:rPr>
        <w:t xml:space="preserve"> on the other hand</w:t>
      </w:r>
      <w:r w:rsidR="00607AE8" w:rsidRPr="00283BD7">
        <w:rPr>
          <w:sz w:val="24"/>
          <w:szCs w:val="24"/>
          <w:lang w:val="en-US"/>
        </w:rPr>
        <w:t>. The ALAI Executive Committee – with a number of European academics in its membership</w:t>
      </w:r>
      <w:r w:rsidR="00BD4ADA" w:rsidRPr="00283BD7">
        <w:rPr>
          <w:sz w:val="24"/>
          <w:szCs w:val="24"/>
          <w:lang w:val="en-US"/>
        </w:rPr>
        <w:t xml:space="preserve"> – kept </w:t>
      </w:r>
      <w:r w:rsidR="00607AE8" w:rsidRPr="00283BD7">
        <w:rPr>
          <w:sz w:val="24"/>
          <w:szCs w:val="24"/>
          <w:lang w:val="en-US"/>
        </w:rPr>
        <w:t xml:space="preserve">expressing support </w:t>
      </w:r>
      <w:r w:rsidR="00BD4ADA" w:rsidRPr="00283BD7">
        <w:rPr>
          <w:sz w:val="24"/>
          <w:szCs w:val="24"/>
          <w:lang w:val="en-US"/>
        </w:rPr>
        <w:t xml:space="preserve">in </w:t>
      </w:r>
      <w:r w:rsidR="00E1516F" w:rsidRPr="00283BD7">
        <w:rPr>
          <w:sz w:val="24"/>
          <w:szCs w:val="24"/>
          <w:lang w:val="en-US"/>
        </w:rPr>
        <w:t>its</w:t>
      </w:r>
      <w:r w:rsidR="00BD4ADA" w:rsidRPr="00283BD7">
        <w:rPr>
          <w:sz w:val="24"/>
          <w:szCs w:val="24"/>
          <w:lang w:val="en-US"/>
        </w:rPr>
        <w:t xml:space="preserve"> </w:t>
      </w:r>
      <w:r w:rsidR="00E640F2" w:rsidRPr="00283BD7">
        <w:rPr>
          <w:sz w:val="24"/>
          <w:szCs w:val="24"/>
          <w:lang w:val="en-US"/>
        </w:rPr>
        <w:t xml:space="preserve">subsequent </w:t>
      </w:r>
      <w:r w:rsidR="006F4920" w:rsidRPr="00283BD7">
        <w:rPr>
          <w:sz w:val="24"/>
          <w:szCs w:val="24"/>
          <w:lang w:val="en-US"/>
        </w:rPr>
        <w:t>opinions</w:t>
      </w:r>
      <w:r w:rsidR="00626285" w:rsidRPr="00283BD7">
        <w:rPr>
          <w:rStyle w:val="Lbjegyzet-hivatkozs"/>
          <w:sz w:val="24"/>
          <w:szCs w:val="24"/>
          <w:lang w:val="en-US"/>
        </w:rPr>
        <w:footnoteReference w:id="12"/>
      </w:r>
      <w:r w:rsidR="00BD4ADA" w:rsidRPr="00283BD7">
        <w:rPr>
          <w:sz w:val="24"/>
          <w:szCs w:val="24"/>
          <w:lang w:val="en-US"/>
        </w:rPr>
        <w:t xml:space="preserve"> </w:t>
      </w:r>
      <w:r w:rsidR="00607AE8" w:rsidRPr="00283BD7">
        <w:rPr>
          <w:sz w:val="24"/>
          <w:szCs w:val="24"/>
          <w:lang w:val="en-US"/>
        </w:rPr>
        <w:t xml:space="preserve">for </w:t>
      </w:r>
      <w:r w:rsidR="00BD4ADA" w:rsidRPr="00283BD7">
        <w:rPr>
          <w:sz w:val="24"/>
          <w:szCs w:val="24"/>
          <w:lang w:val="en-US"/>
        </w:rPr>
        <w:t xml:space="preserve">the provisions which, </w:t>
      </w:r>
      <w:r w:rsidR="00E640F2" w:rsidRPr="00283BD7">
        <w:rPr>
          <w:sz w:val="24"/>
          <w:szCs w:val="24"/>
          <w:lang w:val="en-US"/>
        </w:rPr>
        <w:t xml:space="preserve">as regards their decisive </w:t>
      </w:r>
      <w:r w:rsidR="00BD4ADA" w:rsidRPr="00283BD7">
        <w:rPr>
          <w:sz w:val="24"/>
          <w:szCs w:val="24"/>
          <w:lang w:val="en-US"/>
        </w:rPr>
        <w:t xml:space="preserve">aspects, </w:t>
      </w:r>
      <w:r w:rsidR="00790446" w:rsidRPr="00283BD7">
        <w:rPr>
          <w:sz w:val="24"/>
          <w:szCs w:val="24"/>
          <w:lang w:val="en-US"/>
        </w:rPr>
        <w:t>appear now in the text of the Article</w:t>
      </w:r>
      <w:r w:rsidR="00BD4ADA" w:rsidRPr="00283BD7">
        <w:rPr>
          <w:sz w:val="24"/>
          <w:szCs w:val="24"/>
          <w:lang w:val="en-US"/>
        </w:rPr>
        <w:t xml:space="preserve">. </w:t>
      </w:r>
      <w:r w:rsidR="00790446" w:rsidRPr="00283BD7">
        <w:rPr>
          <w:sz w:val="24"/>
          <w:szCs w:val="24"/>
          <w:lang w:val="en-US"/>
        </w:rPr>
        <w:t xml:space="preserve">This position of ALAI was confirmed </w:t>
      </w:r>
      <w:r w:rsidR="0067421E" w:rsidRPr="00283BD7">
        <w:rPr>
          <w:sz w:val="24"/>
          <w:szCs w:val="24"/>
          <w:lang w:val="en-US"/>
        </w:rPr>
        <w:t>also</w:t>
      </w:r>
      <w:r w:rsidR="006F4920" w:rsidRPr="00283BD7">
        <w:rPr>
          <w:sz w:val="24"/>
          <w:szCs w:val="24"/>
          <w:lang w:val="en-US"/>
        </w:rPr>
        <w:t xml:space="preserve"> </w:t>
      </w:r>
      <w:r w:rsidR="00E4343E">
        <w:rPr>
          <w:sz w:val="24"/>
          <w:szCs w:val="24"/>
          <w:lang w:val="en-US"/>
        </w:rPr>
        <w:t>concerning o</w:t>
      </w:r>
      <w:r w:rsidR="00C34D36" w:rsidRPr="00283BD7">
        <w:rPr>
          <w:sz w:val="24"/>
          <w:szCs w:val="24"/>
          <w:lang w:val="en-US"/>
        </w:rPr>
        <w:t xml:space="preserve">ne of the </w:t>
      </w:r>
      <w:r w:rsidR="00790446" w:rsidRPr="00283BD7">
        <w:rPr>
          <w:sz w:val="24"/>
          <w:szCs w:val="24"/>
          <w:lang w:val="en-US"/>
        </w:rPr>
        <w:t>last version</w:t>
      </w:r>
      <w:r w:rsidR="00AF2124">
        <w:rPr>
          <w:sz w:val="24"/>
          <w:szCs w:val="24"/>
          <w:lang w:val="en-US"/>
        </w:rPr>
        <w:t>s</w:t>
      </w:r>
      <w:r w:rsidR="00790446" w:rsidRPr="00283BD7">
        <w:rPr>
          <w:sz w:val="24"/>
          <w:szCs w:val="24"/>
          <w:lang w:val="en-US"/>
        </w:rPr>
        <w:t xml:space="preserve"> of the draft Directive before its adoption</w:t>
      </w:r>
      <w:r w:rsidR="00E1516F" w:rsidRPr="00283BD7">
        <w:rPr>
          <w:sz w:val="24"/>
          <w:szCs w:val="24"/>
          <w:lang w:val="en-US"/>
        </w:rPr>
        <w:t>:</w:t>
      </w:r>
    </w:p>
    <w:p w14:paraId="413B2BC6" w14:textId="77777777" w:rsidR="00C34D36" w:rsidRPr="00283BD7" w:rsidRDefault="00C34D36" w:rsidP="00C34D36">
      <w:pPr>
        <w:pStyle w:val="Szvegtrzs"/>
        <w:spacing w:before="1"/>
        <w:rPr>
          <w:b/>
          <w:sz w:val="19"/>
        </w:rPr>
      </w:pPr>
    </w:p>
    <w:p w14:paraId="160B1543" w14:textId="77777777" w:rsidR="00C34D36" w:rsidRPr="00286507" w:rsidRDefault="00C34D36" w:rsidP="00C34D36">
      <w:pPr>
        <w:pStyle w:val="Szvegtrzs"/>
        <w:spacing w:before="101"/>
        <w:ind w:left="698"/>
        <w:jc w:val="both"/>
        <w:rPr>
          <w:rFonts w:asciiTheme="minorHAnsi" w:hAnsiTheme="minorHAnsi" w:cstheme="minorHAnsi"/>
          <w:sz w:val="24"/>
          <w:szCs w:val="24"/>
        </w:rPr>
      </w:pPr>
      <w:r w:rsidRPr="00CC7BBD">
        <w:rPr>
          <w:rFonts w:asciiTheme="minorHAnsi" w:hAnsiTheme="minorHAnsi" w:cstheme="minorHAnsi"/>
          <w:i/>
          <w:sz w:val="24"/>
          <w:szCs w:val="24"/>
        </w:rPr>
        <w:t>Considering the resolution adopted by ALAI on 18 February 2017</w:t>
      </w:r>
      <w:r w:rsidRPr="00286507">
        <w:rPr>
          <w:rFonts w:asciiTheme="minorHAnsi" w:hAnsiTheme="minorHAnsi" w:cstheme="minorHAnsi"/>
          <w:sz w:val="24"/>
          <w:szCs w:val="24"/>
        </w:rPr>
        <w:t xml:space="preserve"> on the European proposals of 14 September 2016 to introduce fairer sharing of the value when works and other protected material are made available by electronic means </w:t>
      </w:r>
      <w:hyperlink r:id="rId12" w:history="1">
        <w:r w:rsidRPr="00286507">
          <w:rPr>
            <w:rStyle w:val="Hiperhivatkozs"/>
            <w:rFonts w:asciiTheme="minorHAnsi" w:eastAsiaTheme="majorEastAsia" w:hAnsiTheme="minorHAnsi" w:cstheme="minorHAnsi"/>
            <w:color w:val="auto"/>
            <w:sz w:val="24"/>
            <w:szCs w:val="24"/>
            <w:u w:val="none"/>
          </w:rPr>
          <w:t>http://www.alai.org/en/assets/files/resolutions/170218-value-gap-en.pdf</w:t>
        </w:r>
      </w:hyperlink>
    </w:p>
    <w:p w14:paraId="7BC53D2E" w14:textId="77777777" w:rsidR="00C34D36" w:rsidRPr="00286507" w:rsidRDefault="00C34D36" w:rsidP="00C34D36">
      <w:pPr>
        <w:pStyle w:val="Szvegtrzs"/>
        <w:spacing w:before="100"/>
        <w:ind w:left="698"/>
        <w:jc w:val="both"/>
        <w:rPr>
          <w:rFonts w:asciiTheme="minorHAnsi" w:hAnsiTheme="minorHAnsi" w:cstheme="minorHAnsi"/>
          <w:sz w:val="24"/>
          <w:szCs w:val="24"/>
        </w:rPr>
      </w:pPr>
      <w:r w:rsidRPr="00CC7BBD">
        <w:rPr>
          <w:rFonts w:asciiTheme="minorHAnsi" w:hAnsiTheme="minorHAnsi" w:cstheme="minorHAnsi"/>
          <w:i/>
          <w:sz w:val="24"/>
          <w:szCs w:val="24"/>
        </w:rPr>
        <w:t>Considering the further reflections adopted by ALAI on 16 October 2017,</w:t>
      </w:r>
      <w:r w:rsidRPr="00286507">
        <w:rPr>
          <w:rFonts w:asciiTheme="minorHAnsi" w:hAnsiTheme="minorHAnsi" w:cstheme="minorHAnsi"/>
          <w:sz w:val="24"/>
          <w:szCs w:val="24"/>
        </w:rPr>
        <w:t xml:space="preserve"> on the European proposals of 14 September 2016 to introduce fairer sharing of the value when works and other protected material are made available by electronic means </w:t>
      </w:r>
      <w:hyperlink r:id="rId13" w:history="1">
        <w:r w:rsidRPr="00286507">
          <w:rPr>
            <w:rStyle w:val="Hiperhivatkozs"/>
            <w:rFonts w:asciiTheme="minorHAnsi" w:eastAsiaTheme="majorEastAsia" w:hAnsiTheme="minorHAnsi" w:cstheme="minorHAnsi"/>
            <w:color w:val="auto"/>
            <w:sz w:val="24"/>
            <w:szCs w:val="24"/>
            <w:u w:val="none"/>
          </w:rPr>
          <w:t>http://www.alai.org/en/assets/files/resolutions/171016-alai-further-reflections-value-gap.pdf</w:t>
        </w:r>
      </w:hyperlink>
    </w:p>
    <w:p w14:paraId="324A7139" w14:textId="77777777" w:rsidR="00C34D36" w:rsidRPr="00283BD7" w:rsidRDefault="00C34D36" w:rsidP="00C34D36">
      <w:pPr>
        <w:pStyle w:val="Szvegtrzs"/>
        <w:ind w:left="698"/>
        <w:jc w:val="both"/>
        <w:rPr>
          <w:rFonts w:asciiTheme="minorHAnsi" w:hAnsiTheme="minorHAnsi" w:cstheme="minorHAnsi"/>
          <w:sz w:val="24"/>
          <w:szCs w:val="24"/>
        </w:rPr>
      </w:pPr>
      <w:r w:rsidRPr="00CC7BBD">
        <w:rPr>
          <w:rFonts w:asciiTheme="minorHAnsi" w:hAnsiTheme="minorHAnsi" w:cstheme="minorHAnsi"/>
          <w:i/>
          <w:sz w:val="24"/>
          <w:szCs w:val="24"/>
        </w:rPr>
        <w:t>Considering the version of Article 13 of the proposal for a Directive</w:t>
      </w:r>
      <w:r w:rsidRPr="00283BD7">
        <w:rPr>
          <w:rFonts w:asciiTheme="minorHAnsi" w:hAnsiTheme="minorHAnsi" w:cstheme="minorHAnsi"/>
          <w:sz w:val="24"/>
          <w:szCs w:val="24"/>
        </w:rPr>
        <w:t xml:space="preserve"> on copyright in the Digital Single Market as adopted by the trialogue of 13 February 2019</w:t>
      </w:r>
    </w:p>
    <w:p w14:paraId="5FA1B966" w14:textId="3C881ADE" w:rsidR="00C34D36" w:rsidRPr="00283BD7" w:rsidRDefault="00C34D36" w:rsidP="00C34D36">
      <w:pPr>
        <w:pStyle w:val="Szvegtrzs"/>
        <w:ind w:left="698"/>
        <w:jc w:val="both"/>
        <w:rPr>
          <w:rFonts w:asciiTheme="minorHAnsi" w:hAnsiTheme="minorHAnsi" w:cstheme="minorHAnsi"/>
          <w:sz w:val="24"/>
          <w:szCs w:val="24"/>
        </w:rPr>
      </w:pPr>
      <w:r w:rsidRPr="00283BD7">
        <w:rPr>
          <w:rFonts w:asciiTheme="minorHAnsi" w:hAnsiTheme="minorHAnsi" w:cstheme="minorHAnsi"/>
          <w:sz w:val="24"/>
          <w:szCs w:val="24"/>
        </w:rPr>
        <w:t xml:space="preserve">ALAI, </w:t>
      </w:r>
      <w:r w:rsidRPr="00CC7BBD">
        <w:rPr>
          <w:rFonts w:asciiTheme="minorHAnsi" w:hAnsiTheme="minorHAnsi" w:cstheme="minorHAnsi"/>
          <w:i/>
          <w:sz w:val="24"/>
          <w:szCs w:val="24"/>
        </w:rPr>
        <w:t xml:space="preserve">while noting that the version resulting from the trialogue is less protective of authors' rights </w:t>
      </w:r>
      <w:r w:rsidRPr="00283BD7">
        <w:rPr>
          <w:rFonts w:asciiTheme="minorHAnsi" w:hAnsiTheme="minorHAnsi" w:cstheme="minorHAnsi"/>
          <w:sz w:val="24"/>
          <w:szCs w:val="24"/>
        </w:rPr>
        <w:t xml:space="preserve">because of the desire to strike a certain balance with the defence of other interests, </w:t>
      </w:r>
      <w:r w:rsidRPr="00CC7BBD">
        <w:rPr>
          <w:rFonts w:asciiTheme="minorHAnsi" w:hAnsiTheme="minorHAnsi" w:cstheme="minorHAnsi"/>
          <w:i/>
          <w:sz w:val="24"/>
          <w:szCs w:val="24"/>
        </w:rPr>
        <w:t>approves, in its entirety, the provisions of Article 13</w:t>
      </w:r>
      <w:r w:rsidRPr="00283BD7">
        <w:rPr>
          <w:rFonts w:asciiTheme="minorHAnsi" w:hAnsiTheme="minorHAnsi" w:cstheme="minorHAnsi"/>
          <w:sz w:val="24"/>
          <w:szCs w:val="24"/>
        </w:rPr>
        <w:t xml:space="preserve"> aimed at ensuring better value sharing as a result of the making available to the public of intellectual works by providers of online content sharing services.</w:t>
      </w:r>
      <w:r w:rsidR="0067421E" w:rsidRPr="00283BD7">
        <w:rPr>
          <w:rStyle w:val="Lbjegyzet-hivatkozs"/>
          <w:rFonts w:asciiTheme="minorHAnsi" w:hAnsiTheme="minorHAnsi" w:cstheme="minorHAnsi"/>
          <w:sz w:val="24"/>
          <w:szCs w:val="24"/>
        </w:rPr>
        <w:footnoteReference w:id="13"/>
      </w:r>
      <w:r w:rsidR="00AA3D97">
        <w:rPr>
          <w:rFonts w:asciiTheme="minorHAnsi" w:hAnsiTheme="minorHAnsi" w:cstheme="minorHAnsi"/>
          <w:sz w:val="24"/>
          <w:szCs w:val="24"/>
        </w:rPr>
        <w:t xml:space="preserve"> (Emphasis added.)</w:t>
      </w:r>
    </w:p>
    <w:p w14:paraId="5A5279C3" w14:textId="77777777" w:rsidR="0067421E" w:rsidRPr="00283BD7" w:rsidRDefault="0067421E" w:rsidP="00C34D36">
      <w:pPr>
        <w:pStyle w:val="Szvegtrzs"/>
        <w:spacing w:before="1"/>
        <w:jc w:val="both"/>
        <w:rPr>
          <w:rFonts w:asciiTheme="minorHAnsi" w:hAnsiTheme="minorHAnsi" w:cstheme="minorHAnsi"/>
          <w:sz w:val="24"/>
          <w:szCs w:val="24"/>
        </w:rPr>
      </w:pPr>
    </w:p>
    <w:p w14:paraId="29160369" w14:textId="77777777" w:rsidR="00106FF3" w:rsidRPr="00283BD7" w:rsidRDefault="0067421E" w:rsidP="00106FF3">
      <w:pPr>
        <w:pStyle w:val="Szvegtrzs"/>
        <w:spacing w:before="1"/>
        <w:jc w:val="both"/>
        <w:rPr>
          <w:rFonts w:asciiTheme="minorHAnsi" w:hAnsiTheme="minorHAnsi" w:cstheme="minorHAnsi"/>
          <w:sz w:val="24"/>
          <w:szCs w:val="24"/>
        </w:rPr>
      </w:pPr>
      <w:r w:rsidRPr="00283BD7">
        <w:rPr>
          <w:rFonts w:asciiTheme="minorHAnsi" w:hAnsiTheme="minorHAnsi" w:cstheme="minorHAnsi"/>
          <w:sz w:val="24"/>
          <w:szCs w:val="24"/>
        </w:rPr>
        <w:t>The</w:t>
      </w:r>
      <w:r w:rsidR="00C34D36" w:rsidRPr="00283BD7">
        <w:rPr>
          <w:rFonts w:asciiTheme="minorHAnsi" w:hAnsiTheme="minorHAnsi" w:cstheme="minorHAnsi"/>
          <w:sz w:val="24"/>
          <w:szCs w:val="24"/>
        </w:rPr>
        <w:t xml:space="preserve"> other group of European academics</w:t>
      </w:r>
      <w:r w:rsidRPr="00283BD7">
        <w:rPr>
          <w:rFonts w:asciiTheme="minorHAnsi" w:hAnsiTheme="minorHAnsi" w:cstheme="minorHAnsi"/>
          <w:sz w:val="24"/>
          <w:szCs w:val="24"/>
        </w:rPr>
        <w:t xml:space="preserve"> adopted</w:t>
      </w:r>
      <w:r w:rsidR="00E640F2" w:rsidRPr="00283BD7">
        <w:rPr>
          <w:rFonts w:asciiTheme="minorHAnsi" w:hAnsiTheme="minorHAnsi" w:cstheme="minorHAnsi"/>
          <w:sz w:val="24"/>
          <w:szCs w:val="24"/>
        </w:rPr>
        <w:t xml:space="preserve"> a diametrical opposing resolution</w:t>
      </w:r>
      <w:r w:rsidR="00863788" w:rsidRPr="00283BD7">
        <w:rPr>
          <w:rFonts w:asciiTheme="minorHAnsi" w:hAnsiTheme="minorHAnsi" w:cstheme="minorHAnsi"/>
          <w:sz w:val="24"/>
          <w:szCs w:val="24"/>
        </w:rPr>
        <w:t>.</w:t>
      </w:r>
      <w:r w:rsidRPr="00283BD7">
        <w:rPr>
          <w:rFonts w:asciiTheme="minorHAnsi" w:hAnsiTheme="minorHAnsi" w:cstheme="minorHAnsi"/>
          <w:sz w:val="24"/>
          <w:szCs w:val="24"/>
        </w:rPr>
        <w:t xml:space="preserve"> </w:t>
      </w:r>
      <w:r w:rsidR="006B7E63" w:rsidRPr="00283BD7">
        <w:rPr>
          <w:rFonts w:asciiTheme="minorHAnsi" w:hAnsiTheme="minorHAnsi" w:cstheme="minorHAnsi"/>
          <w:sz w:val="24"/>
          <w:szCs w:val="24"/>
        </w:rPr>
        <w:t xml:space="preserve">While </w:t>
      </w:r>
      <w:r w:rsidRPr="00283BD7">
        <w:rPr>
          <w:rFonts w:asciiTheme="minorHAnsi" w:hAnsiTheme="minorHAnsi" w:cstheme="minorHAnsi"/>
          <w:sz w:val="24"/>
          <w:szCs w:val="24"/>
        </w:rPr>
        <w:t>the ALAI Executive Committee</w:t>
      </w:r>
      <w:r w:rsidR="00E4343E">
        <w:rPr>
          <w:rFonts w:asciiTheme="minorHAnsi" w:hAnsiTheme="minorHAnsi" w:cstheme="minorHAnsi"/>
          <w:sz w:val="24"/>
          <w:szCs w:val="24"/>
        </w:rPr>
        <w:t>, as quoted above,</w:t>
      </w:r>
      <w:r w:rsidR="006B7E63" w:rsidRPr="00283BD7">
        <w:rPr>
          <w:rFonts w:asciiTheme="minorHAnsi" w:hAnsiTheme="minorHAnsi" w:cstheme="minorHAnsi"/>
          <w:sz w:val="24"/>
          <w:szCs w:val="24"/>
        </w:rPr>
        <w:t xml:space="preserve"> noted with a touch of regret</w:t>
      </w:r>
      <w:r w:rsidRPr="00283BD7">
        <w:rPr>
          <w:rFonts w:asciiTheme="minorHAnsi" w:hAnsiTheme="minorHAnsi" w:cstheme="minorHAnsi"/>
          <w:sz w:val="24"/>
          <w:szCs w:val="24"/>
        </w:rPr>
        <w:t xml:space="preserve"> that </w:t>
      </w:r>
      <w:r w:rsidR="006B7E63" w:rsidRPr="00283BD7">
        <w:rPr>
          <w:rFonts w:asciiTheme="minorHAnsi" w:hAnsiTheme="minorHAnsi" w:cstheme="minorHAnsi"/>
          <w:sz w:val="24"/>
          <w:szCs w:val="24"/>
        </w:rPr>
        <w:t>“</w:t>
      </w:r>
      <w:r w:rsidRPr="00283BD7">
        <w:rPr>
          <w:rFonts w:asciiTheme="minorHAnsi" w:hAnsiTheme="minorHAnsi" w:cstheme="minorHAnsi"/>
          <w:sz w:val="24"/>
          <w:szCs w:val="24"/>
        </w:rPr>
        <w:t>the version resulting from the trialogue is less protective of authors' rights because of the desire to strike a certain balance with the defence of other interests</w:t>
      </w:r>
      <w:r w:rsidR="006B7E63" w:rsidRPr="00283BD7">
        <w:rPr>
          <w:rFonts w:asciiTheme="minorHAnsi" w:hAnsiTheme="minorHAnsi" w:cstheme="minorHAnsi"/>
          <w:sz w:val="24"/>
          <w:szCs w:val="24"/>
        </w:rPr>
        <w:t xml:space="preserve">”, the other group </w:t>
      </w:r>
      <w:r w:rsidR="00106FF3" w:rsidRPr="00283BD7">
        <w:rPr>
          <w:rFonts w:asciiTheme="minorHAnsi" w:hAnsiTheme="minorHAnsi" w:cstheme="minorHAnsi"/>
          <w:sz w:val="24"/>
          <w:szCs w:val="24"/>
        </w:rPr>
        <w:t xml:space="preserve">in an “Open Letter to Members of the European Parliament and the Council of the European Union” </w:t>
      </w:r>
      <w:r w:rsidR="00286507">
        <w:rPr>
          <w:rFonts w:asciiTheme="minorHAnsi" w:hAnsiTheme="minorHAnsi" w:cstheme="minorHAnsi"/>
          <w:sz w:val="24"/>
          <w:szCs w:val="24"/>
        </w:rPr>
        <w:t xml:space="preserve">dated April 26, 2018, </w:t>
      </w:r>
      <w:r w:rsidR="00106FF3" w:rsidRPr="00283BD7">
        <w:rPr>
          <w:rFonts w:asciiTheme="minorHAnsi" w:hAnsiTheme="minorHAnsi" w:cstheme="minorHAnsi"/>
          <w:sz w:val="24"/>
          <w:szCs w:val="24"/>
        </w:rPr>
        <w:t>stated as follows:</w:t>
      </w:r>
    </w:p>
    <w:p w14:paraId="4C8D9741" w14:textId="77777777" w:rsidR="00387F07" w:rsidRPr="00283BD7" w:rsidRDefault="00387F07" w:rsidP="00387F07">
      <w:pPr>
        <w:pStyle w:val="Szvegtrzs"/>
        <w:ind w:left="567"/>
        <w:rPr>
          <w:color w:val="FF0000"/>
          <w:sz w:val="24"/>
          <w:szCs w:val="24"/>
        </w:rPr>
      </w:pPr>
    </w:p>
    <w:p w14:paraId="6EF076B8" w14:textId="4B0E5D4F" w:rsidR="00387F07" w:rsidRPr="00283BD7" w:rsidRDefault="00387F07" w:rsidP="004957E9">
      <w:pPr>
        <w:tabs>
          <w:tab w:val="left" w:pos="1021"/>
        </w:tabs>
        <w:autoSpaceDE w:val="0"/>
        <w:autoSpaceDN w:val="0"/>
        <w:spacing w:before="5" w:line="256" w:lineRule="auto"/>
        <w:ind w:left="567"/>
        <w:jc w:val="both"/>
        <w:rPr>
          <w:rFonts w:asciiTheme="minorHAnsi" w:hAnsiTheme="minorHAnsi" w:cstheme="minorHAnsi"/>
          <w:sz w:val="24"/>
          <w:szCs w:val="24"/>
          <w:lang w:val="en-US"/>
        </w:rPr>
      </w:pPr>
      <w:r w:rsidRPr="00CC7BBD">
        <w:rPr>
          <w:rFonts w:asciiTheme="minorHAnsi" w:hAnsiTheme="minorHAnsi" w:cstheme="minorHAnsi"/>
          <w:i/>
          <w:sz w:val="24"/>
          <w:szCs w:val="24"/>
          <w:lang w:val="en-US"/>
        </w:rPr>
        <w:t>There is scientific consensus</w:t>
      </w:r>
      <w:r w:rsidRPr="00283BD7">
        <w:rPr>
          <w:rStyle w:val="Lbjegyzet-hivatkozs"/>
          <w:rFonts w:asciiTheme="minorHAnsi" w:hAnsiTheme="minorHAnsi" w:cstheme="minorHAnsi"/>
          <w:sz w:val="24"/>
          <w:szCs w:val="24"/>
          <w:lang w:val="en-US"/>
        </w:rPr>
        <w:footnoteReference w:id="14"/>
      </w:r>
      <w:r w:rsidRPr="00283BD7">
        <w:rPr>
          <w:rFonts w:asciiTheme="minorHAnsi" w:hAnsiTheme="minorHAnsi" w:cstheme="minorHAnsi"/>
          <w:sz w:val="24"/>
          <w:szCs w:val="24"/>
          <w:lang w:val="en-US"/>
        </w:rPr>
        <w:t xml:space="preserve">… </w:t>
      </w:r>
      <w:r w:rsidRPr="00CC7BBD">
        <w:rPr>
          <w:rFonts w:asciiTheme="minorHAnsi" w:hAnsiTheme="minorHAnsi" w:cstheme="minorHAnsi"/>
          <w:i/>
          <w:sz w:val="24"/>
          <w:szCs w:val="24"/>
          <w:lang w:val="en-US"/>
        </w:rPr>
        <w:t>that the proposals for Art. 13 threaten the user participation benefits</w:t>
      </w:r>
      <w:r w:rsidRPr="00283BD7">
        <w:rPr>
          <w:rFonts w:asciiTheme="minorHAnsi" w:hAnsiTheme="minorHAnsi" w:cstheme="minorHAnsi"/>
          <w:sz w:val="24"/>
          <w:szCs w:val="24"/>
          <w:lang w:val="en-US"/>
        </w:rPr>
        <w:t xml:space="preserve"> of the </w:t>
      </w:r>
      <w:hyperlink r:id="rId14" w:history="1">
        <w:r w:rsidRPr="00283BD7">
          <w:rPr>
            <w:rStyle w:val="Hiperhivatkozs"/>
            <w:rFonts w:asciiTheme="minorHAnsi" w:hAnsiTheme="minorHAnsi" w:cstheme="minorHAnsi"/>
            <w:color w:val="auto"/>
            <w:sz w:val="24"/>
            <w:szCs w:val="24"/>
            <w:u w:val="none"/>
            <w:lang w:val="en-US"/>
          </w:rPr>
          <w:t>e-</w:t>
        </w:r>
      </w:hyperlink>
      <w:hyperlink r:id="rId15" w:history="1">
        <w:r w:rsidRPr="00283BD7">
          <w:rPr>
            <w:rStyle w:val="Hiperhivatkozs"/>
            <w:rFonts w:asciiTheme="minorHAnsi" w:hAnsiTheme="minorHAnsi" w:cstheme="minorHAnsi"/>
            <w:color w:val="auto"/>
            <w:sz w:val="24"/>
            <w:szCs w:val="24"/>
            <w:u w:val="none"/>
            <w:lang w:val="en-US"/>
          </w:rPr>
          <w:t xml:space="preserve">Commerce Directive </w:t>
        </w:r>
      </w:hyperlink>
      <w:r w:rsidRPr="00283BD7">
        <w:rPr>
          <w:rFonts w:asciiTheme="minorHAnsi" w:hAnsiTheme="minorHAnsi" w:cstheme="minorHAnsi"/>
          <w:spacing w:val="-3"/>
          <w:sz w:val="24"/>
          <w:szCs w:val="24"/>
          <w:lang w:val="en-US"/>
        </w:rPr>
        <w:t xml:space="preserve">(2000/31/EC) </w:t>
      </w:r>
      <w:r w:rsidRPr="00283BD7">
        <w:rPr>
          <w:rFonts w:asciiTheme="minorHAnsi" w:hAnsiTheme="minorHAnsi" w:cstheme="minorHAnsi"/>
          <w:sz w:val="24"/>
          <w:szCs w:val="24"/>
          <w:lang w:val="en-US"/>
        </w:rPr>
        <w:t>which shared the responsibility for enforcement between rightholders and service</w:t>
      </w:r>
      <w:r w:rsidRPr="00283BD7">
        <w:rPr>
          <w:rFonts w:asciiTheme="minorHAnsi" w:hAnsiTheme="minorHAnsi" w:cstheme="minorHAnsi"/>
          <w:spacing w:val="-3"/>
          <w:sz w:val="24"/>
          <w:szCs w:val="24"/>
          <w:lang w:val="en-US"/>
        </w:rPr>
        <w:t xml:space="preserve"> </w:t>
      </w:r>
      <w:r w:rsidRPr="00283BD7">
        <w:rPr>
          <w:rFonts w:asciiTheme="minorHAnsi" w:hAnsiTheme="minorHAnsi" w:cstheme="minorHAnsi"/>
          <w:sz w:val="24"/>
          <w:szCs w:val="24"/>
          <w:lang w:val="en-US"/>
        </w:rPr>
        <w:t>providers.</w:t>
      </w:r>
      <w:r w:rsidR="00E96D1A">
        <w:rPr>
          <w:rFonts w:asciiTheme="minorHAnsi" w:hAnsiTheme="minorHAnsi" w:cstheme="minorHAnsi"/>
          <w:sz w:val="24"/>
          <w:szCs w:val="24"/>
          <w:lang w:val="en-US"/>
        </w:rPr>
        <w:t xml:space="preserve"> (Emphasis added.)</w:t>
      </w:r>
    </w:p>
    <w:p w14:paraId="1A077672" w14:textId="77777777" w:rsidR="00387F07" w:rsidRPr="00283BD7" w:rsidRDefault="00387F07" w:rsidP="004957E9">
      <w:pPr>
        <w:pStyle w:val="Szvegtrzs"/>
        <w:ind w:left="567"/>
        <w:jc w:val="both"/>
        <w:rPr>
          <w:rFonts w:asciiTheme="minorHAnsi" w:hAnsiTheme="minorHAnsi" w:cstheme="minorHAnsi"/>
          <w:sz w:val="24"/>
          <w:szCs w:val="24"/>
        </w:rPr>
      </w:pPr>
    </w:p>
    <w:p w14:paraId="2B57A1CC" w14:textId="7214980E" w:rsidR="004957E9" w:rsidRPr="00283BD7" w:rsidRDefault="004B3A4D" w:rsidP="00E640F2">
      <w:pPr>
        <w:pStyle w:val="Szvegtrzs"/>
        <w:tabs>
          <w:tab w:val="left" w:pos="8931"/>
        </w:tabs>
        <w:ind w:left="0"/>
        <w:jc w:val="both"/>
        <w:rPr>
          <w:rFonts w:asciiTheme="minorHAnsi" w:hAnsiTheme="minorHAnsi" w:cstheme="minorHAnsi"/>
          <w:sz w:val="24"/>
          <w:szCs w:val="24"/>
        </w:rPr>
      </w:pPr>
      <w:r w:rsidRPr="00283BD7">
        <w:rPr>
          <w:rFonts w:asciiTheme="minorHAnsi" w:hAnsiTheme="minorHAnsi" w:cstheme="minorHAnsi"/>
          <w:sz w:val="24"/>
          <w:szCs w:val="24"/>
        </w:rPr>
        <w:t>They also questioned the validity of the argument presented by the Executive Committee of ALAI that</w:t>
      </w:r>
      <w:r w:rsidR="00E640F2" w:rsidRPr="00283BD7">
        <w:rPr>
          <w:rFonts w:asciiTheme="minorHAnsi" w:hAnsiTheme="minorHAnsi" w:cstheme="minorHAnsi"/>
          <w:sz w:val="24"/>
          <w:szCs w:val="24"/>
        </w:rPr>
        <w:t xml:space="preserve"> </w:t>
      </w:r>
      <w:r w:rsidRPr="00283BD7">
        <w:rPr>
          <w:rFonts w:asciiTheme="minorHAnsi" w:hAnsiTheme="minorHAnsi" w:cstheme="minorHAnsi"/>
          <w:sz w:val="24"/>
          <w:szCs w:val="24"/>
        </w:rPr>
        <w:t xml:space="preserve">Article 13 (later Article 17) </w:t>
      </w:r>
      <w:r w:rsidR="00216B11" w:rsidRPr="00283BD7">
        <w:rPr>
          <w:rFonts w:asciiTheme="minorHAnsi" w:hAnsiTheme="minorHAnsi" w:cstheme="minorHAnsi"/>
          <w:sz w:val="24"/>
          <w:szCs w:val="24"/>
        </w:rPr>
        <w:t xml:space="preserve">of the draft Directive </w:t>
      </w:r>
      <w:r w:rsidRPr="00283BD7">
        <w:rPr>
          <w:rFonts w:asciiTheme="minorHAnsi" w:hAnsiTheme="minorHAnsi" w:cstheme="minorHAnsi"/>
          <w:sz w:val="24"/>
          <w:szCs w:val="24"/>
        </w:rPr>
        <w:t xml:space="preserve">was necessary to </w:t>
      </w:r>
      <w:r w:rsidR="00216B11" w:rsidRPr="00283BD7">
        <w:rPr>
          <w:rFonts w:asciiTheme="minorHAnsi" w:hAnsiTheme="minorHAnsi" w:cstheme="minorHAnsi"/>
          <w:sz w:val="24"/>
          <w:szCs w:val="24"/>
        </w:rPr>
        <w:t xml:space="preserve">achieve </w:t>
      </w:r>
      <w:r w:rsidRPr="00283BD7">
        <w:rPr>
          <w:rFonts w:asciiTheme="minorHAnsi" w:hAnsiTheme="minorHAnsi" w:cstheme="minorHAnsi"/>
          <w:sz w:val="24"/>
          <w:szCs w:val="24"/>
        </w:rPr>
        <w:t xml:space="preserve">fairer sharing of value when works and other protected material are made available </w:t>
      </w:r>
      <w:r w:rsidR="004957E9" w:rsidRPr="00283BD7">
        <w:rPr>
          <w:rFonts w:asciiTheme="minorHAnsi" w:hAnsiTheme="minorHAnsi" w:cstheme="minorHAnsi"/>
          <w:sz w:val="24"/>
          <w:szCs w:val="24"/>
        </w:rPr>
        <w:t>by</w:t>
      </w:r>
      <w:r w:rsidR="00B92C88">
        <w:rPr>
          <w:rFonts w:asciiTheme="minorHAnsi" w:hAnsiTheme="minorHAnsi" w:cstheme="minorHAnsi"/>
          <w:sz w:val="24"/>
          <w:szCs w:val="24"/>
        </w:rPr>
        <w:t xml:space="preserve"> </w:t>
      </w:r>
      <w:r w:rsidR="00B92C88" w:rsidRPr="00B92C88">
        <w:rPr>
          <w:rFonts w:asciiTheme="minorHAnsi" w:hAnsiTheme="minorHAnsi" w:cstheme="minorHAnsi"/>
          <w:sz w:val="24"/>
          <w:szCs w:val="24"/>
        </w:rPr>
        <w:t>online content-sharing service providers (</w:t>
      </w:r>
      <w:r w:rsidR="004807F8">
        <w:rPr>
          <w:rFonts w:asciiTheme="minorHAnsi" w:hAnsiTheme="minorHAnsi" w:cstheme="minorHAnsi"/>
          <w:sz w:val="24"/>
          <w:szCs w:val="24"/>
        </w:rPr>
        <w:t>OCSSPs</w:t>
      </w:r>
      <w:r w:rsidR="00B92C88">
        <w:rPr>
          <w:rFonts w:asciiTheme="minorHAnsi" w:hAnsiTheme="minorHAnsi" w:cstheme="minorHAnsi"/>
          <w:sz w:val="24"/>
          <w:szCs w:val="24"/>
        </w:rPr>
        <w:t>)</w:t>
      </w:r>
      <w:r w:rsidR="00E640F2" w:rsidRPr="00283BD7">
        <w:rPr>
          <w:rFonts w:asciiTheme="minorHAnsi" w:hAnsiTheme="minorHAnsi" w:cstheme="minorHAnsi"/>
          <w:sz w:val="24"/>
          <w:szCs w:val="24"/>
        </w:rPr>
        <w:t>. The other group of academics</w:t>
      </w:r>
      <w:r w:rsidR="004957E9" w:rsidRPr="00283BD7">
        <w:rPr>
          <w:rFonts w:asciiTheme="minorHAnsi" w:hAnsiTheme="minorHAnsi" w:cstheme="minorHAnsi"/>
          <w:sz w:val="24"/>
          <w:szCs w:val="24"/>
        </w:rPr>
        <w:t xml:space="preserve"> </w:t>
      </w:r>
      <w:r w:rsidR="00216B11" w:rsidRPr="00283BD7">
        <w:rPr>
          <w:rFonts w:asciiTheme="minorHAnsi" w:hAnsiTheme="minorHAnsi" w:cstheme="minorHAnsi"/>
          <w:sz w:val="24"/>
          <w:szCs w:val="24"/>
        </w:rPr>
        <w:t>was of the</w:t>
      </w:r>
      <w:r w:rsidR="00542B57">
        <w:rPr>
          <w:rFonts w:asciiTheme="minorHAnsi" w:hAnsiTheme="minorHAnsi" w:cstheme="minorHAnsi"/>
          <w:sz w:val="24"/>
          <w:szCs w:val="24"/>
        </w:rPr>
        <w:t xml:space="preserve"> </w:t>
      </w:r>
      <w:r w:rsidR="00E4343E">
        <w:rPr>
          <w:rFonts w:asciiTheme="minorHAnsi" w:hAnsiTheme="minorHAnsi" w:cstheme="minorHAnsi"/>
          <w:sz w:val="24"/>
          <w:szCs w:val="24"/>
        </w:rPr>
        <w:t xml:space="preserve">view </w:t>
      </w:r>
      <w:r w:rsidR="004957E9" w:rsidRPr="00283BD7">
        <w:rPr>
          <w:rFonts w:asciiTheme="minorHAnsi" w:hAnsiTheme="minorHAnsi" w:cstheme="minorHAnsi"/>
          <w:sz w:val="24"/>
          <w:szCs w:val="24"/>
        </w:rPr>
        <w:t xml:space="preserve">that “the misleading rhetoric of a ‘value gap’ clouds the true nature of the issues for online platforms.” </w:t>
      </w:r>
      <w:r w:rsidR="00AA2B99" w:rsidRPr="00283BD7">
        <w:rPr>
          <w:rFonts w:asciiTheme="minorHAnsi" w:hAnsiTheme="minorHAnsi" w:cstheme="minorHAnsi"/>
          <w:sz w:val="24"/>
          <w:szCs w:val="24"/>
        </w:rPr>
        <w:t xml:space="preserve">They </w:t>
      </w:r>
      <w:r w:rsidR="004957E9" w:rsidRPr="00283BD7">
        <w:rPr>
          <w:rFonts w:asciiTheme="minorHAnsi" w:hAnsiTheme="minorHAnsi" w:cstheme="minorHAnsi"/>
          <w:sz w:val="24"/>
          <w:szCs w:val="24"/>
        </w:rPr>
        <w:t>concluded that, for that and other reasons</w:t>
      </w:r>
      <w:r w:rsidR="00AA2B99" w:rsidRPr="00283BD7">
        <w:rPr>
          <w:rFonts w:asciiTheme="minorHAnsi" w:hAnsiTheme="minorHAnsi" w:cstheme="minorHAnsi"/>
          <w:sz w:val="24"/>
          <w:szCs w:val="24"/>
        </w:rPr>
        <w:t>, ”[t]</w:t>
      </w:r>
      <w:r w:rsidR="004957E9" w:rsidRPr="00283BD7">
        <w:rPr>
          <w:rFonts w:asciiTheme="minorHAnsi" w:hAnsiTheme="minorHAnsi" w:cstheme="minorHAnsi"/>
          <w:sz w:val="24"/>
          <w:szCs w:val="24"/>
        </w:rPr>
        <w:t xml:space="preserve">he Copyright in the Digital Single Market Directive </w:t>
      </w:r>
      <w:r w:rsidR="00AA2B99" w:rsidRPr="00283BD7">
        <w:rPr>
          <w:rFonts w:asciiTheme="minorHAnsi" w:hAnsiTheme="minorHAnsi" w:cstheme="minorHAnsi"/>
          <w:sz w:val="24"/>
          <w:szCs w:val="24"/>
        </w:rPr>
        <w:t xml:space="preserve">[was] </w:t>
      </w:r>
      <w:r w:rsidR="004957E9" w:rsidRPr="00283BD7">
        <w:rPr>
          <w:rFonts w:asciiTheme="minorHAnsi" w:hAnsiTheme="minorHAnsi" w:cstheme="minorHAnsi"/>
          <w:sz w:val="24"/>
          <w:szCs w:val="24"/>
        </w:rPr>
        <w:t>failing its stated goals to improve choice, access and fairness in the digital environment</w:t>
      </w:r>
      <w:r w:rsidR="00AA2B99" w:rsidRPr="00283BD7">
        <w:rPr>
          <w:rFonts w:asciiTheme="minorHAnsi" w:hAnsiTheme="minorHAnsi" w:cstheme="minorHAnsi"/>
          <w:sz w:val="24"/>
          <w:szCs w:val="24"/>
        </w:rPr>
        <w:t>” and called on the Parliament and the Council to reject the proposed directive which “[would] not serve the public interests</w:t>
      </w:r>
      <w:r w:rsidR="009868DF" w:rsidRPr="00283BD7">
        <w:rPr>
          <w:rFonts w:asciiTheme="minorHAnsi" w:hAnsiTheme="minorHAnsi" w:cstheme="minorHAnsi"/>
          <w:sz w:val="24"/>
          <w:szCs w:val="24"/>
        </w:rPr>
        <w:t>”</w:t>
      </w:r>
      <w:r w:rsidR="00AA2B99" w:rsidRPr="00283BD7">
        <w:rPr>
          <w:rFonts w:asciiTheme="minorHAnsi" w:hAnsiTheme="minorHAnsi" w:cstheme="minorHAnsi"/>
          <w:sz w:val="24"/>
          <w:szCs w:val="24"/>
        </w:rPr>
        <w:t>.</w:t>
      </w:r>
      <w:r w:rsidR="00AA2B99" w:rsidRPr="00283BD7">
        <w:rPr>
          <w:rStyle w:val="Lbjegyzet-hivatkozs"/>
          <w:rFonts w:asciiTheme="minorHAnsi" w:hAnsiTheme="minorHAnsi" w:cstheme="minorHAnsi"/>
          <w:sz w:val="24"/>
          <w:szCs w:val="24"/>
        </w:rPr>
        <w:footnoteReference w:id="15"/>
      </w:r>
      <w:r w:rsidR="00AA2B99" w:rsidRPr="00283BD7">
        <w:rPr>
          <w:rFonts w:asciiTheme="minorHAnsi" w:hAnsiTheme="minorHAnsi" w:cstheme="minorHAnsi"/>
          <w:sz w:val="24"/>
          <w:szCs w:val="24"/>
        </w:rPr>
        <w:t xml:space="preserve">  </w:t>
      </w:r>
    </w:p>
    <w:p w14:paraId="2FFCCBAC" w14:textId="6DBB30FC" w:rsidR="00045AC6" w:rsidRPr="00283BD7" w:rsidRDefault="004957E9" w:rsidP="004957E9">
      <w:pPr>
        <w:pStyle w:val="Szvegtrzs"/>
        <w:ind w:left="0"/>
        <w:jc w:val="both"/>
        <w:rPr>
          <w:rFonts w:asciiTheme="minorHAnsi" w:hAnsiTheme="minorHAnsi" w:cstheme="minorHAnsi"/>
          <w:sz w:val="24"/>
          <w:szCs w:val="24"/>
        </w:rPr>
      </w:pPr>
      <w:r w:rsidRPr="00283BD7">
        <w:rPr>
          <w:rFonts w:asciiTheme="minorHAnsi" w:hAnsiTheme="minorHAnsi" w:cstheme="minorHAnsi"/>
          <w:sz w:val="24"/>
          <w:szCs w:val="24"/>
        </w:rPr>
        <w:t xml:space="preserve"> </w:t>
      </w:r>
    </w:p>
    <w:p w14:paraId="4144C953" w14:textId="5CD902DD" w:rsidR="00106FF3" w:rsidRPr="00283BD7" w:rsidRDefault="00343196" w:rsidP="00343196">
      <w:pPr>
        <w:pStyle w:val="Szvegtrzs"/>
        <w:spacing w:before="1"/>
        <w:jc w:val="center"/>
        <w:rPr>
          <w:rFonts w:asciiTheme="minorHAnsi" w:hAnsiTheme="minorHAnsi" w:cstheme="minorHAnsi"/>
          <w:b/>
          <w:sz w:val="24"/>
          <w:szCs w:val="24"/>
        </w:rPr>
      </w:pPr>
      <w:r w:rsidRPr="00283BD7">
        <w:rPr>
          <w:rFonts w:asciiTheme="minorHAnsi" w:hAnsiTheme="minorHAnsi" w:cstheme="minorHAnsi"/>
          <w:b/>
          <w:sz w:val="24"/>
          <w:szCs w:val="24"/>
        </w:rPr>
        <w:t>I</w:t>
      </w:r>
      <w:r w:rsidR="006845E1" w:rsidRPr="00283BD7">
        <w:rPr>
          <w:rFonts w:asciiTheme="minorHAnsi" w:hAnsiTheme="minorHAnsi" w:cstheme="minorHAnsi"/>
          <w:b/>
          <w:sz w:val="24"/>
          <w:szCs w:val="24"/>
        </w:rPr>
        <w:t>I</w:t>
      </w:r>
      <w:r w:rsidRPr="00283BD7">
        <w:rPr>
          <w:rFonts w:asciiTheme="minorHAnsi" w:hAnsiTheme="minorHAnsi" w:cstheme="minorHAnsi"/>
          <w:b/>
          <w:sz w:val="24"/>
          <w:szCs w:val="24"/>
        </w:rPr>
        <w:t xml:space="preserve">. </w:t>
      </w:r>
      <w:r w:rsidR="00542B57">
        <w:rPr>
          <w:rFonts w:asciiTheme="minorHAnsi" w:hAnsiTheme="minorHAnsi" w:cstheme="minorHAnsi"/>
          <w:b/>
          <w:sz w:val="24"/>
          <w:szCs w:val="24"/>
        </w:rPr>
        <w:t xml:space="preserve">Honest </w:t>
      </w:r>
      <w:r w:rsidR="00311A9E">
        <w:rPr>
          <w:rFonts w:asciiTheme="minorHAnsi" w:hAnsiTheme="minorHAnsi" w:cstheme="minorHAnsi"/>
          <w:b/>
          <w:sz w:val="24"/>
          <w:szCs w:val="24"/>
        </w:rPr>
        <w:t xml:space="preserve">(but not fully successful) attempt </w:t>
      </w:r>
      <w:r w:rsidR="00542B57">
        <w:rPr>
          <w:rFonts w:asciiTheme="minorHAnsi" w:hAnsiTheme="minorHAnsi" w:cstheme="minorHAnsi"/>
          <w:b/>
          <w:sz w:val="24"/>
          <w:szCs w:val="24"/>
        </w:rPr>
        <w:t>by</w:t>
      </w:r>
      <w:r w:rsidRPr="00283BD7">
        <w:rPr>
          <w:rFonts w:asciiTheme="minorHAnsi" w:hAnsiTheme="minorHAnsi" w:cstheme="minorHAnsi"/>
          <w:b/>
          <w:sz w:val="24"/>
          <w:szCs w:val="24"/>
        </w:rPr>
        <w:t xml:space="preserve"> the group of </w:t>
      </w:r>
      <w:r w:rsidR="00F7454A" w:rsidRPr="00283BD7">
        <w:rPr>
          <w:rFonts w:asciiTheme="minorHAnsi" w:hAnsiTheme="minorHAnsi" w:cstheme="minorHAnsi"/>
          <w:b/>
          <w:sz w:val="24"/>
          <w:szCs w:val="24"/>
        </w:rPr>
        <w:t>European a</w:t>
      </w:r>
      <w:r w:rsidRPr="00283BD7">
        <w:rPr>
          <w:rFonts w:asciiTheme="minorHAnsi" w:hAnsiTheme="minorHAnsi" w:cstheme="minorHAnsi"/>
          <w:b/>
          <w:sz w:val="24"/>
          <w:szCs w:val="24"/>
        </w:rPr>
        <w:t xml:space="preserve">cademics </w:t>
      </w:r>
      <w:r w:rsidR="00480DBB" w:rsidRPr="00283BD7">
        <w:rPr>
          <w:rFonts w:asciiTheme="minorHAnsi" w:hAnsiTheme="minorHAnsi" w:cstheme="minorHAnsi"/>
          <w:b/>
          <w:sz w:val="24"/>
          <w:szCs w:val="24"/>
        </w:rPr>
        <w:t>previously reject</w:t>
      </w:r>
      <w:r w:rsidR="00542B57">
        <w:rPr>
          <w:rFonts w:asciiTheme="minorHAnsi" w:hAnsiTheme="minorHAnsi" w:cstheme="minorHAnsi"/>
          <w:b/>
          <w:sz w:val="24"/>
          <w:szCs w:val="24"/>
        </w:rPr>
        <w:t>ing</w:t>
      </w:r>
      <w:r w:rsidR="00480DBB" w:rsidRPr="00283BD7">
        <w:rPr>
          <w:rFonts w:asciiTheme="minorHAnsi" w:hAnsiTheme="minorHAnsi" w:cstheme="minorHAnsi"/>
          <w:b/>
          <w:sz w:val="24"/>
          <w:szCs w:val="24"/>
        </w:rPr>
        <w:t xml:space="preserve"> </w:t>
      </w:r>
      <w:r w:rsidR="009868DF" w:rsidRPr="00283BD7">
        <w:rPr>
          <w:rFonts w:asciiTheme="minorHAnsi" w:hAnsiTheme="minorHAnsi" w:cstheme="minorHAnsi"/>
          <w:b/>
          <w:sz w:val="24"/>
          <w:szCs w:val="24"/>
        </w:rPr>
        <w:t xml:space="preserve">Article 17 </w:t>
      </w:r>
      <w:r w:rsidR="00480DBB" w:rsidRPr="00283BD7">
        <w:rPr>
          <w:rFonts w:asciiTheme="minorHAnsi" w:hAnsiTheme="minorHAnsi" w:cstheme="minorHAnsi"/>
          <w:b/>
          <w:sz w:val="24"/>
          <w:szCs w:val="24"/>
        </w:rPr>
        <w:t xml:space="preserve">to work out an interpretation </w:t>
      </w:r>
      <w:r w:rsidR="00F7454A" w:rsidRPr="00283BD7">
        <w:rPr>
          <w:rFonts w:asciiTheme="minorHAnsi" w:hAnsiTheme="minorHAnsi" w:cstheme="minorHAnsi"/>
          <w:b/>
          <w:sz w:val="24"/>
          <w:szCs w:val="24"/>
        </w:rPr>
        <w:t xml:space="preserve">on the basis of which </w:t>
      </w:r>
      <w:r w:rsidR="003C6332" w:rsidRPr="00283BD7">
        <w:rPr>
          <w:rFonts w:asciiTheme="minorHAnsi" w:hAnsiTheme="minorHAnsi" w:cstheme="minorHAnsi"/>
          <w:b/>
          <w:sz w:val="24"/>
          <w:szCs w:val="24"/>
        </w:rPr>
        <w:t xml:space="preserve">it might become </w:t>
      </w:r>
      <w:r w:rsidR="002D11D5" w:rsidRPr="00283BD7">
        <w:rPr>
          <w:rFonts w:asciiTheme="minorHAnsi" w:hAnsiTheme="minorHAnsi" w:cstheme="minorHAnsi"/>
          <w:b/>
          <w:sz w:val="24"/>
          <w:szCs w:val="24"/>
        </w:rPr>
        <w:t>acceptable</w:t>
      </w:r>
      <w:r w:rsidRPr="00283BD7">
        <w:rPr>
          <w:rFonts w:asciiTheme="minorHAnsi" w:hAnsiTheme="minorHAnsi" w:cstheme="minorHAnsi"/>
          <w:b/>
          <w:sz w:val="24"/>
          <w:szCs w:val="24"/>
        </w:rPr>
        <w:t xml:space="preserve"> </w:t>
      </w:r>
      <w:r w:rsidR="009868DF" w:rsidRPr="00283BD7">
        <w:rPr>
          <w:rFonts w:asciiTheme="minorHAnsi" w:hAnsiTheme="minorHAnsi" w:cstheme="minorHAnsi"/>
          <w:b/>
          <w:sz w:val="24"/>
          <w:szCs w:val="24"/>
        </w:rPr>
        <w:t>to</w:t>
      </w:r>
      <w:r w:rsidRPr="00283BD7">
        <w:rPr>
          <w:rFonts w:asciiTheme="minorHAnsi" w:hAnsiTheme="minorHAnsi" w:cstheme="minorHAnsi"/>
          <w:b/>
          <w:sz w:val="24"/>
          <w:szCs w:val="24"/>
        </w:rPr>
        <w:t xml:space="preserve"> them</w:t>
      </w:r>
    </w:p>
    <w:p w14:paraId="06EC5045" w14:textId="77777777" w:rsidR="009868DF" w:rsidRPr="00283BD7" w:rsidRDefault="009868DF" w:rsidP="00343196">
      <w:pPr>
        <w:pStyle w:val="Szvegtrzs"/>
        <w:spacing w:before="1"/>
        <w:jc w:val="center"/>
        <w:rPr>
          <w:rFonts w:asciiTheme="minorHAnsi" w:hAnsiTheme="minorHAnsi" w:cstheme="minorHAnsi"/>
          <w:b/>
          <w:sz w:val="24"/>
          <w:szCs w:val="24"/>
        </w:rPr>
      </w:pPr>
    </w:p>
    <w:p w14:paraId="32D015BF" w14:textId="2E22B59C" w:rsidR="009868DF" w:rsidRPr="00283BD7" w:rsidRDefault="009868DF" w:rsidP="009868DF">
      <w:pPr>
        <w:pStyle w:val="Szvegtrzs"/>
        <w:spacing w:before="1"/>
        <w:ind w:left="0"/>
        <w:jc w:val="both"/>
        <w:rPr>
          <w:rFonts w:asciiTheme="minorHAnsi" w:hAnsiTheme="minorHAnsi" w:cstheme="minorHAnsi"/>
          <w:sz w:val="24"/>
          <w:szCs w:val="24"/>
        </w:rPr>
      </w:pPr>
      <w:r w:rsidRPr="00283BD7">
        <w:rPr>
          <w:rFonts w:asciiTheme="minorHAnsi" w:hAnsiTheme="minorHAnsi" w:cstheme="minorHAnsi"/>
          <w:sz w:val="24"/>
          <w:szCs w:val="24"/>
        </w:rPr>
        <w:t xml:space="preserve">The </w:t>
      </w:r>
      <w:r w:rsidR="00E96D1A">
        <w:rPr>
          <w:rFonts w:asciiTheme="minorHAnsi" w:hAnsiTheme="minorHAnsi" w:cstheme="minorHAnsi"/>
          <w:sz w:val="24"/>
          <w:szCs w:val="24"/>
        </w:rPr>
        <w:t xml:space="preserve">above-quoted </w:t>
      </w:r>
      <w:r w:rsidRPr="00283BD7">
        <w:rPr>
          <w:rFonts w:asciiTheme="minorHAnsi" w:hAnsiTheme="minorHAnsi" w:cstheme="minorHAnsi"/>
          <w:sz w:val="24"/>
          <w:szCs w:val="24"/>
        </w:rPr>
        <w:t xml:space="preserve">Open Letter </w:t>
      </w:r>
      <w:r w:rsidR="002E1F8B">
        <w:rPr>
          <w:rFonts w:asciiTheme="minorHAnsi" w:hAnsiTheme="minorHAnsi" w:cstheme="minorHAnsi"/>
          <w:sz w:val="24"/>
          <w:szCs w:val="24"/>
        </w:rPr>
        <w:t>did</w:t>
      </w:r>
      <w:r w:rsidR="002E1F8B" w:rsidRPr="00283BD7">
        <w:rPr>
          <w:rFonts w:asciiTheme="minorHAnsi" w:hAnsiTheme="minorHAnsi" w:cstheme="minorHAnsi"/>
          <w:sz w:val="24"/>
          <w:szCs w:val="24"/>
        </w:rPr>
        <w:t xml:space="preserve"> </w:t>
      </w:r>
      <w:r w:rsidRPr="00283BD7">
        <w:rPr>
          <w:rFonts w:asciiTheme="minorHAnsi" w:hAnsiTheme="minorHAnsi" w:cstheme="minorHAnsi"/>
          <w:sz w:val="24"/>
          <w:szCs w:val="24"/>
        </w:rPr>
        <w:t xml:space="preserve">not achieve the result intended by </w:t>
      </w:r>
      <w:r w:rsidR="004827A2" w:rsidRPr="00283BD7">
        <w:rPr>
          <w:rFonts w:asciiTheme="minorHAnsi" w:hAnsiTheme="minorHAnsi" w:cstheme="minorHAnsi"/>
          <w:sz w:val="24"/>
          <w:szCs w:val="24"/>
        </w:rPr>
        <w:t>its</w:t>
      </w:r>
      <w:r w:rsidRPr="00283BD7">
        <w:rPr>
          <w:rFonts w:asciiTheme="minorHAnsi" w:hAnsiTheme="minorHAnsi" w:cstheme="minorHAnsi"/>
          <w:sz w:val="24"/>
          <w:szCs w:val="24"/>
        </w:rPr>
        <w:t xml:space="preserve"> authors and signatories. </w:t>
      </w:r>
      <w:r w:rsidR="00216B11" w:rsidRPr="00283BD7">
        <w:rPr>
          <w:rFonts w:asciiTheme="minorHAnsi" w:hAnsiTheme="minorHAnsi" w:cstheme="minorHAnsi"/>
          <w:sz w:val="24"/>
          <w:szCs w:val="24"/>
        </w:rPr>
        <w:t xml:space="preserve">Although certain amendments </w:t>
      </w:r>
      <w:r w:rsidR="000442F4">
        <w:rPr>
          <w:rFonts w:asciiTheme="minorHAnsi" w:hAnsiTheme="minorHAnsi" w:cstheme="minorHAnsi"/>
          <w:sz w:val="24"/>
          <w:szCs w:val="24"/>
        </w:rPr>
        <w:t>were</w:t>
      </w:r>
      <w:r w:rsidR="00216B11" w:rsidRPr="00283BD7">
        <w:rPr>
          <w:rFonts w:asciiTheme="minorHAnsi" w:hAnsiTheme="minorHAnsi" w:cstheme="minorHAnsi"/>
          <w:sz w:val="24"/>
          <w:szCs w:val="24"/>
        </w:rPr>
        <w:t xml:space="preserve"> made, </w:t>
      </w:r>
      <w:r w:rsidR="004827A2" w:rsidRPr="00283BD7">
        <w:rPr>
          <w:rFonts w:asciiTheme="minorHAnsi" w:hAnsiTheme="minorHAnsi" w:cstheme="minorHAnsi"/>
          <w:sz w:val="24"/>
          <w:szCs w:val="24"/>
        </w:rPr>
        <w:t>Article 17 of t</w:t>
      </w:r>
      <w:r w:rsidRPr="00283BD7">
        <w:rPr>
          <w:rFonts w:asciiTheme="minorHAnsi" w:hAnsiTheme="minorHAnsi" w:cstheme="minorHAnsi"/>
          <w:sz w:val="24"/>
          <w:szCs w:val="24"/>
        </w:rPr>
        <w:t xml:space="preserve">he </w:t>
      </w:r>
      <w:r w:rsidR="00216B11" w:rsidRPr="00283BD7">
        <w:rPr>
          <w:rFonts w:asciiTheme="minorHAnsi" w:hAnsiTheme="minorHAnsi" w:cstheme="minorHAnsi"/>
          <w:sz w:val="24"/>
          <w:szCs w:val="24"/>
        </w:rPr>
        <w:t>D</w:t>
      </w:r>
      <w:r w:rsidRPr="00283BD7">
        <w:rPr>
          <w:rFonts w:asciiTheme="minorHAnsi" w:hAnsiTheme="minorHAnsi" w:cstheme="minorHAnsi"/>
          <w:sz w:val="24"/>
          <w:szCs w:val="24"/>
        </w:rPr>
        <w:t>irective has been adopted</w:t>
      </w:r>
      <w:r w:rsidR="004827A2" w:rsidRPr="00283BD7">
        <w:rPr>
          <w:rFonts w:asciiTheme="minorHAnsi" w:hAnsiTheme="minorHAnsi" w:cstheme="minorHAnsi"/>
          <w:sz w:val="24"/>
          <w:szCs w:val="24"/>
        </w:rPr>
        <w:t>,</w:t>
      </w:r>
      <w:r w:rsidRPr="00283BD7">
        <w:rPr>
          <w:rFonts w:asciiTheme="minorHAnsi" w:hAnsiTheme="minorHAnsi" w:cstheme="minorHAnsi"/>
          <w:sz w:val="24"/>
          <w:szCs w:val="24"/>
        </w:rPr>
        <w:t xml:space="preserve"> </w:t>
      </w:r>
      <w:r w:rsidR="006D3D15">
        <w:rPr>
          <w:rFonts w:asciiTheme="minorHAnsi" w:hAnsiTheme="minorHAnsi" w:cstheme="minorHAnsi"/>
          <w:sz w:val="24"/>
          <w:szCs w:val="24"/>
        </w:rPr>
        <w:t xml:space="preserve">as regards its </w:t>
      </w:r>
      <w:r w:rsidRPr="00283BD7">
        <w:rPr>
          <w:rFonts w:asciiTheme="minorHAnsi" w:hAnsiTheme="minorHAnsi" w:cstheme="minorHAnsi"/>
          <w:sz w:val="24"/>
          <w:szCs w:val="24"/>
        </w:rPr>
        <w:t>main aspects</w:t>
      </w:r>
      <w:r w:rsidR="004827A2" w:rsidRPr="00283BD7">
        <w:rPr>
          <w:rFonts w:asciiTheme="minorHAnsi" w:hAnsiTheme="minorHAnsi" w:cstheme="minorHAnsi"/>
          <w:sz w:val="24"/>
          <w:szCs w:val="24"/>
        </w:rPr>
        <w:t>,</w:t>
      </w:r>
      <w:r w:rsidRPr="00283BD7">
        <w:rPr>
          <w:rFonts w:asciiTheme="minorHAnsi" w:hAnsiTheme="minorHAnsi" w:cstheme="minorHAnsi"/>
          <w:sz w:val="24"/>
          <w:szCs w:val="24"/>
        </w:rPr>
        <w:t xml:space="preserve"> in the </w:t>
      </w:r>
      <w:r w:rsidR="00D849E8" w:rsidRPr="00283BD7">
        <w:rPr>
          <w:rFonts w:asciiTheme="minorHAnsi" w:hAnsiTheme="minorHAnsi" w:cstheme="minorHAnsi"/>
          <w:sz w:val="24"/>
          <w:szCs w:val="24"/>
        </w:rPr>
        <w:t>form</w:t>
      </w:r>
      <w:r w:rsidRPr="00283BD7">
        <w:rPr>
          <w:rFonts w:asciiTheme="minorHAnsi" w:hAnsiTheme="minorHAnsi" w:cstheme="minorHAnsi"/>
          <w:sz w:val="24"/>
          <w:szCs w:val="24"/>
        </w:rPr>
        <w:t xml:space="preserve"> in which the</w:t>
      </w:r>
      <w:r w:rsidR="00F7454A" w:rsidRPr="00283BD7">
        <w:rPr>
          <w:rFonts w:asciiTheme="minorHAnsi" w:hAnsiTheme="minorHAnsi" w:cstheme="minorHAnsi"/>
          <w:sz w:val="24"/>
          <w:szCs w:val="24"/>
        </w:rPr>
        <w:t xml:space="preserve">y </w:t>
      </w:r>
      <w:r w:rsidRPr="00283BD7">
        <w:rPr>
          <w:rFonts w:asciiTheme="minorHAnsi" w:hAnsiTheme="minorHAnsi" w:cstheme="minorHAnsi"/>
          <w:sz w:val="24"/>
          <w:szCs w:val="24"/>
        </w:rPr>
        <w:t xml:space="preserve">did not find </w:t>
      </w:r>
      <w:r w:rsidR="00480DBB" w:rsidRPr="00283BD7">
        <w:rPr>
          <w:rFonts w:asciiTheme="minorHAnsi" w:hAnsiTheme="minorHAnsi" w:cstheme="minorHAnsi"/>
          <w:sz w:val="24"/>
          <w:szCs w:val="24"/>
        </w:rPr>
        <w:t xml:space="preserve">it </w:t>
      </w:r>
      <w:r w:rsidRPr="00283BD7">
        <w:rPr>
          <w:rFonts w:asciiTheme="minorHAnsi" w:hAnsiTheme="minorHAnsi" w:cstheme="minorHAnsi"/>
          <w:sz w:val="24"/>
          <w:szCs w:val="24"/>
        </w:rPr>
        <w:t>acceptable</w:t>
      </w:r>
      <w:r w:rsidR="00216B11" w:rsidRPr="00283BD7">
        <w:rPr>
          <w:rFonts w:asciiTheme="minorHAnsi" w:hAnsiTheme="minorHAnsi" w:cstheme="minorHAnsi"/>
          <w:sz w:val="24"/>
          <w:szCs w:val="24"/>
        </w:rPr>
        <w:t xml:space="preserve">. </w:t>
      </w:r>
      <w:r w:rsidR="00BF7D1D" w:rsidRPr="00283BD7">
        <w:rPr>
          <w:rFonts w:asciiTheme="minorHAnsi" w:hAnsiTheme="minorHAnsi" w:cstheme="minorHAnsi"/>
          <w:sz w:val="24"/>
          <w:szCs w:val="24"/>
        </w:rPr>
        <w:t xml:space="preserve"> </w:t>
      </w:r>
      <w:r w:rsidR="004827A2" w:rsidRPr="00283BD7">
        <w:rPr>
          <w:rFonts w:asciiTheme="minorHAnsi" w:hAnsiTheme="minorHAnsi" w:cstheme="minorHAnsi"/>
          <w:sz w:val="24"/>
          <w:szCs w:val="24"/>
        </w:rPr>
        <w:t xml:space="preserve"> </w:t>
      </w:r>
      <w:r w:rsidRPr="00283BD7">
        <w:rPr>
          <w:rFonts w:asciiTheme="minorHAnsi" w:hAnsiTheme="minorHAnsi" w:cstheme="minorHAnsi"/>
          <w:sz w:val="24"/>
          <w:szCs w:val="24"/>
        </w:rPr>
        <w:t xml:space="preserve">    </w:t>
      </w:r>
    </w:p>
    <w:p w14:paraId="73DF2071" w14:textId="77777777" w:rsidR="004827A2" w:rsidRPr="00283BD7" w:rsidRDefault="004827A2" w:rsidP="002D11D5">
      <w:pPr>
        <w:pStyle w:val="Szvegtrzs"/>
        <w:spacing w:before="1"/>
        <w:ind w:left="0"/>
        <w:jc w:val="both"/>
        <w:rPr>
          <w:rFonts w:asciiTheme="minorHAnsi" w:hAnsiTheme="minorHAnsi" w:cstheme="minorHAnsi"/>
          <w:sz w:val="24"/>
          <w:szCs w:val="24"/>
        </w:rPr>
      </w:pPr>
    </w:p>
    <w:p w14:paraId="51EC8A02" w14:textId="4E80C9E4" w:rsidR="00A37880" w:rsidRPr="00283BD7" w:rsidRDefault="00BF7D1D" w:rsidP="002D11D5">
      <w:pPr>
        <w:pStyle w:val="Szvegtrzs"/>
        <w:spacing w:before="1"/>
        <w:ind w:left="0"/>
        <w:jc w:val="both"/>
        <w:rPr>
          <w:rFonts w:asciiTheme="minorHAnsi" w:hAnsiTheme="minorHAnsi" w:cstheme="minorHAnsi"/>
          <w:sz w:val="24"/>
          <w:szCs w:val="24"/>
        </w:rPr>
      </w:pPr>
      <w:r w:rsidRPr="00283BD7">
        <w:rPr>
          <w:rFonts w:asciiTheme="minorHAnsi" w:hAnsiTheme="minorHAnsi" w:cstheme="minorHAnsi"/>
          <w:sz w:val="24"/>
          <w:szCs w:val="24"/>
        </w:rPr>
        <w:t xml:space="preserve">In November 2019, more or less the same </w:t>
      </w:r>
      <w:r w:rsidR="00480DBB" w:rsidRPr="00283BD7">
        <w:rPr>
          <w:rFonts w:asciiTheme="minorHAnsi" w:hAnsiTheme="minorHAnsi" w:cstheme="minorHAnsi"/>
          <w:sz w:val="24"/>
          <w:szCs w:val="24"/>
        </w:rPr>
        <w:t xml:space="preserve">group of </w:t>
      </w:r>
      <w:r w:rsidRPr="00283BD7">
        <w:rPr>
          <w:rFonts w:asciiTheme="minorHAnsi" w:hAnsiTheme="minorHAnsi" w:cstheme="minorHAnsi"/>
          <w:sz w:val="24"/>
          <w:szCs w:val="24"/>
        </w:rPr>
        <w:t xml:space="preserve">academics published </w:t>
      </w:r>
      <w:r w:rsidR="00480DBB" w:rsidRPr="00283BD7">
        <w:rPr>
          <w:rFonts w:asciiTheme="minorHAnsi" w:hAnsiTheme="minorHAnsi" w:cstheme="minorHAnsi"/>
          <w:sz w:val="24"/>
          <w:szCs w:val="24"/>
        </w:rPr>
        <w:t>a</w:t>
      </w:r>
      <w:r w:rsidR="009B1083" w:rsidRPr="00283BD7">
        <w:rPr>
          <w:rFonts w:asciiTheme="minorHAnsi" w:hAnsiTheme="minorHAnsi" w:cstheme="minorHAnsi"/>
          <w:sz w:val="24"/>
          <w:szCs w:val="24"/>
        </w:rPr>
        <w:t xml:space="preserve"> document – for the purpose of the stakeholder dialogue foreseen in Article 17</w:t>
      </w:r>
      <w:r w:rsidR="006D3D15">
        <w:rPr>
          <w:rFonts w:asciiTheme="minorHAnsi" w:hAnsiTheme="minorHAnsi" w:cstheme="minorHAnsi"/>
          <w:sz w:val="24"/>
          <w:szCs w:val="24"/>
        </w:rPr>
        <w:t>(10)</w:t>
      </w:r>
      <w:r w:rsidR="009B1083" w:rsidRPr="00283BD7">
        <w:rPr>
          <w:rFonts w:asciiTheme="minorHAnsi" w:hAnsiTheme="minorHAnsi" w:cstheme="minorHAnsi"/>
          <w:sz w:val="24"/>
          <w:szCs w:val="24"/>
        </w:rPr>
        <w:t xml:space="preserve"> – entitled </w:t>
      </w:r>
      <w:r w:rsidR="00B04B58" w:rsidRPr="00283BD7">
        <w:rPr>
          <w:rFonts w:asciiTheme="minorHAnsi" w:hAnsiTheme="minorHAnsi" w:cstheme="minorHAnsi"/>
          <w:sz w:val="24"/>
          <w:szCs w:val="24"/>
        </w:rPr>
        <w:t>“</w:t>
      </w:r>
      <w:bookmarkStart w:id="0" w:name="Safeguarding_User_Freedoms_in_Implementi"/>
      <w:bookmarkEnd w:id="0"/>
      <w:r w:rsidR="00B04B58" w:rsidRPr="00283BD7">
        <w:rPr>
          <w:rFonts w:asciiTheme="minorHAnsi" w:hAnsiTheme="minorHAnsi" w:cstheme="minorHAnsi"/>
          <w:sz w:val="24"/>
          <w:szCs w:val="24"/>
        </w:rPr>
        <w:t>Safeguarding User Freedoms in Implementing Article 17 of the Copyright in the Digital Single Market Directive: Recommendations from European Academics”</w:t>
      </w:r>
      <w:r w:rsidR="00806EDC">
        <w:rPr>
          <w:rStyle w:val="Lbjegyzet-hivatkozs"/>
          <w:rFonts w:asciiTheme="minorHAnsi" w:hAnsiTheme="minorHAnsi" w:cstheme="minorHAnsi"/>
          <w:sz w:val="24"/>
          <w:szCs w:val="24"/>
        </w:rPr>
        <w:footnoteReference w:id="16"/>
      </w:r>
      <w:r w:rsidR="00B04B58" w:rsidRPr="00283BD7">
        <w:rPr>
          <w:rFonts w:asciiTheme="minorHAnsi" w:hAnsiTheme="minorHAnsi" w:cstheme="minorHAnsi"/>
          <w:sz w:val="24"/>
          <w:szCs w:val="24"/>
        </w:rPr>
        <w:t>. Although the document</w:t>
      </w:r>
      <w:r w:rsidR="003C6332" w:rsidRPr="00283BD7">
        <w:rPr>
          <w:rFonts w:asciiTheme="minorHAnsi" w:hAnsiTheme="minorHAnsi" w:cstheme="minorHAnsi"/>
          <w:sz w:val="24"/>
          <w:szCs w:val="24"/>
        </w:rPr>
        <w:t xml:space="preserve"> still characterizes</w:t>
      </w:r>
      <w:r w:rsidR="00B04B58" w:rsidRPr="00283BD7">
        <w:rPr>
          <w:rFonts w:asciiTheme="minorHAnsi" w:hAnsiTheme="minorHAnsi" w:cstheme="minorHAnsi"/>
          <w:sz w:val="24"/>
          <w:szCs w:val="24"/>
        </w:rPr>
        <w:t xml:space="preserve"> </w:t>
      </w:r>
      <w:r w:rsidR="00653E8E" w:rsidRPr="00283BD7">
        <w:rPr>
          <w:rFonts w:asciiTheme="minorHAnsi" w:hAnsiTheme="minorHAnsi" w:cstheme="minorHAnsi"/>
          <w:sz w:val="24"/>
          <w:szCs w:val="24"/>
        </w:rPr>
        <w:t xml:space="preserve">Article 17 as containing </w:t>
      </w:r>
      <w:r w:rsidR="00B04B58" w:rsidRPr="00283BD7">
        <w:rPr>
          <w:rFonts w:asciiTheme="minorHAnsi" w:hAnsiTheme="minorHAnsi" w:cstheme="minorHAnsi"/>
          <w:sz w:val="24"/>
          <w:szCs w:val="24"/>
        </w:rPr>
        <w:t>“the most controversial</w:t>
      </w:r>
      <w:r w:rsidR="00653E8E" w:rsidRPr="00283BD7">
        <w:rPr>
          <w:rFonts w:asciiTheme="minorHAnsi" w:hAnsiTheme="minorHAnsi" w:cstheme="minorHAnsi"/>
          <w:sz w:val="24"/>
          <w:szCs w:val="24"/>
        </w:rPr>
        <w:t xml:space="preserve"> provisions” of the Directive, it </w:t>
      </w:r>
      <w:r w:rsidR="00480DBB" w:rsidRPr="00283BD7">
        <w:rPr>
          <w:rFonts w:asciiTheme="minorHAnsi" w:hAnsiTheme="minorHAnsi" w:cstheme="minorHAnsi"/>
          <w:sz w:val="24"/>
          <w:szCs w:val="24"/>
        </w:rPr>
        <w:t xml:space="preserve">reflects </w:t>
      </w:r>
      <w:r w:rsidR="00653E8E" w:rsidRPr="00283BD7">
        <w:rPr>
          <w:rFonts w:asciiTheme="minorHAnsi" w:hAnsiTheme="minorHAnsi" w:cstheme="minorHAnsi"/>
          <w:sz w:val="24"/>
          <w:szCs w:val="24"/>
        </w:rPr>
        <w:t>a</w:t>
      </w:r>
      <w:r w:rsidR="00480DBB" w:rsidRPr="00283BD7">
        <w:rPr>
          <w:rFonts w:asciiTheme="minorHAnsi" w:hAnsiTheme="minorHAnsi" w:cstheme="minorHAnsi"/>
          <w:sz w:val="24"/>
          <w:szCs w:val="24"/>
        </w:rPr>
        <w:t xml:space="preserve"> </w:t>
      </w:r>
      <w:r w:rsidR="005A310D" w:rsidRPr="00283BD7">
        <w:rPr>
          <w:rFonts w:asciiTheme="minorHAnsi" w:hAnsiTheme="minorHAnsi" w:cstheme="minorHAnsi"/>
          <w:sz w:val="24"/>
          <w:szCs w:val="24"/>
        </w:rPr>
        <w:t xml:space="preserve">laudable change </w:t>
      </w:r>
      <w:r w:rsidR="006D3D15">
        <w:rPr>
          <w:rFonts w:asciiTheme="minorHAnsi" w:hAnsiTheme="minorHAnsi" w:cstheme="minorHAnsi"/>
          <w:sz w:val="24"/>
          <w:szCs w:val="24"/>
        </w:rPr>
        <w:t xml:space="preserve">of attitude </w:t>
      </w:r>
      <w:r w:rsidR="005A310D" w:rsidRPr="00283BD7">
        <w:rPr>
          <w:rFonts w:asciiTheme="minorHAnsi" w:hAnsiTheme="minorHAnsi" w:cstheme="minorHAnsi"/>
          <w:sz w:val="24"/>
          <w:szCs w:val="24"/>
        </w:rPr>
        <w:t xml:space="preserve">from </w:t>
      </w:r>
      <w:r w:rsidR="00A37880" w:rsidRPr="00283BD7">
        <w:rPr>
          <w:rFonts w:asciiTheme="minorHAnsi" w:hAnsiTheme="minorHAnsi" w:cstheme="minorHAnsi"/>
          <w:sz w:val="24"/>
          <w:szCs w:val="24"/>
        </w:rPr>
        <w:t xml:space="preserve">the </w:t>
      </w:r>
      <w:r w:rsidR="00FB726A" w:rsidRPr="00283BD7">
        <w:rPr>
          <w:rFonts w:asciiTheme="minorHAnsi" w:hAnsiTheme="minorHAnsi" w:cstheme="minorHAnsi"/>
          <w:sz w:val="24"/>
          <w:szCs w:val="24"/>
        </w:rPr>
        <w:t>re</w:t>
      </w:r>
      <w:r w:rsidR="005A310D" w:rsidRPr="00283BD7">
        <w:rPr>
          <w:rFonts w:asciiTheme="minorHAnsi" w:hAnsiTheme="minorHAnsi" w:cstheme="minorHAnsi"/>
          <w:sz w:val="24"/>
          <w:szCs w:val="24"/>
        </w:rPr>
        <w:t>j</w:t>
      </w:r>
      <w:r w:rsidR="00FB726A" w:rsidRPr="00283BD7">
        <w:rPr>
          <w:rFonts w:asciiTheme="minorHAnsi" w:hAnsiTheme="minorHAnsi" w:cstheme="minorHAnsi"/>
          <w:sz w:val="24"/>
          <w:szCs w:val="24"/>
        </w:rPr>
        <w:t>e</w:t>
      </w:r>
      <w:r w:rsidR="005A310D" w:rsidRPr="00283BD7">
        <w:rPr>
          <w:rFonts w:asciiTheme="minorHAnsi" w:hAnsiTheme="minorHAnsi" w:cstheme="minorHAnsi"/>
          <w:sz w:val="24"/>
          <w:szCs w:val="24"/>
        </w:rPr>
        <w:t xml:space="preserve">ction </w:t>
      </w:r>
      <w:r w:rsidR="00A37880" w:rsidRPr="00283BD7">
        <w:rPr>
          <w:rFonts w:asciiTheme="minorHAnsi" w:hAnsiTheme="minorHAnsi" w:cstheme="minorHAnsi"/>
          <w:sz w:val="24"/>
          <w:szCs w:val="24"/>
        </w:rPr>
        <w:t xml:space="preserve">of </w:t>
      </w:r>
      <w:r w:rsidR="00544DB9">
        <w:rPr>
          <w:rFonts w:asciiTheme="minorHAnsi" w:hAnsiTheme="minorHAnsi" w:cstheme="minorHAnsi"/>
          <w:sz w:val="24"/>
          <w:szCs w:val="24"/>
        </w:rPr>
        <w:t>the</w:t>
      </w:r>
      <w:r w:rsidR="00A37880" w:rsidRPr="00283BD7">
        <w:rPr>
          <w:rFonts w:asciiTheme="minorHAnsi" w:hAnsiTheme="minorHAnsi" w:cstheme="minorHAnsi"/>
          <w:sz w:val="24"/>
          <w:szCs w:val="24"/>
        </w:rPr>
        <w:t xml:space="preserve"> </w:t>
      </w:r>
      <w:r w:rsidR="005A310D" w:rsidRPr="00283BD7">
        <w:rPr>
          <w:rFonts w:asciiTheme="minorHAnsi" w:hAnsiTheme="minorHAnsi" w:cstheme="minorHAnsi"/>
          <w:sz w:val="24"/>
          <w:szCs w:val="24"/>
        </w:rPr>
        <w:t>Article</w:t>
      </w:r>
      <w:r w:rsidR="009B1083" w:rsidRPr="00283BD7">
        <w:rPr>
          <w:rFonts w:asciiTheme="minorHAnsi" w:hAnsiTheme="minorHAnsi" w:cstheme="minorHAnsi"/>
          <w:sz w:val="24"/>
          <w:szCs w:val="24"/>
        </w:rPr>
        <w:t xml:space="preserve"> </w:t>
      </w:r>
      <w:r w:rsidR="005A310D" w:rsidRPr="00283BD7">
        <w:rPr>
          <w:rFonts w:asciiTheme="minorHAnsi" w:hAnsiTheme="minorHAnsi" w:cstheme="minorHAnsi"/>
          <w:sz w:val="24"/>
          <w:szCs w:val="24"/>
        </w:rPr>
        <w:t xml:space="preserve">to </w:t>
      </w:r>
      <w:r w:rsidR="00A37880" w:rsidRPr="00283BD7">
        <w:rPr>
          <w:rFonts w:asciiTheme="minorHAnsi" w:hAnsiTheme="minorHAnsi" w:cstheme="minorHAnsi"/>
          <w:sz w:val="24"/>
          <w:szCs w:val="24"/>
        </w:rPr>
        <w:t xml:space="preserve">concentrating on </w:t>
      </w:r>
      <w:r w:rsidR="00B07CAC" w:rsidRPr="00283BD7">
        <w:rPr>
          <w:rFonts w:asciiTheme="minorHAnsi" w:hAnsiTheme="minorHAnsi" w:cstheme="minorHAnsi"/>
          <w:sz w:val="24"/>
          <w:szCs w:val="24"/>
        </w:rPr>
        <w:t xml:space="preserve">the tasks of </w:t>
      </w:r>
      <w:r w:rsidR="003C6332" w:rsidRPr="00283BD7">
        <w:rPr>
          <w:rFonts w:asciiTheme="minorHAnsi" w:hAnsiTheme="minorHAnsi" w:cstheme="minorHAnsi"/>
          <w:sz w:val="24"/>
          <w:szCs w:val="24"/>
        </w:rPr>
        <w:t>implementation</w:t>
      </w:r>
      <w:r w:rsidR="00216B11" w:rsidRPr="00283BD7">
        <w:rPr>
          <w:rFonts w:asciiTheme="minorHAnsi" w:hAnsiTheme="minorHAnsi" w:cstheme="minorHAnsi"/>
          <w:sz w:val="24"/>
          <w:szCs w:val="24"/>
        </w:rPr>
        <w:t xml:space="preserve">. </w:t>
      </w:r>
      <w:r w:rsidR="0051365B" w:rsidRPr="00283BD7">
        <w:rPr>
          <w:rFonts w:asciiTheme="minorHAnsi" w:hAnsiTheme="minorHAnsi" w:cstheme="minorHAnsi"/>
          <w:sz w:val="24"/>
          <w:szCs w:val="24"/>
        </w:rPr>
        <w:t>T</w:t>
      </w:r>
      <w:r w:rsidR="00FB2C77" w:rsidRPr="00283BD7">
        <w:rPr>
          <w:rFonts w:asciiTheme="minorHAnsi" w:hAnsiTheme="minorHAnsi" w:cstheme="minorHAnsi"/>
          <w:sz w:val="24"/>
          <w:szCs w:val="24"/>
        </w:rPr>
        <w:t xml:space="preserve">he Recommendations </w:t>
      </w:r>
      <w:r w:rsidR="00A37880" w:rsidRPr="00283BD7">
        <w:rPr>
          <w:rFonts w:asciiTheme="minorHAnsi" w:hAnsiTheme="minorHAnsi" w:cstheme="minorHAnsi"/>
          <w:sz w:val="24"/>
          <w:szCs w:val="24"/>
        </w:rPr>
        <w:t>is</w:t>
      </w:r>
      <w:r w:rsidR="00FB2C77" w:rsidRPr="00283BD7">
        <w:rPr>
          <w:rFonts w:asciiTheme="minorHAnsi" w:hAnsiTheme="minorHAnsi" w:cstheme="minorHAnsi"/>
          <w:sz w:val="24"/>
          <w:szCs w:val="24"/>
        </w:rPr>
        <w:t xml:space="preserve"> a</w:t>
      </w:r>
      <w:r w:rsidR="00370418">
        <w:rPr>
          <w:rFonts w:asciiTheme="minorHAnsi" w:hAnsiTheme="minorHAnsi" w:cstheme="minorHAnsi"/>
          <w:sz w:val="24"/>
          <w:szCs w:val="24"/>
        </w:rPr>
        <w:t>n</w:t>
      </w:r>
      <w:r w:rsidR="00FB2C77" w:rsidRPr="00283BD7">
        <w:rPr>
          <w:rFonts w:asciiTheme="minorHAnsi" w:hAnsiTheme="minorHAnsi" w:cstheme="minorHAnsi"/>
          <w:sz w:val="24"/>
          <w:szCs w:val="24"/>
        </w:rPr>
        <w:t xml:space="preserve"> honest attempt to eliminate what </w:t>
      </w:r>
      <w:r w:rsidR="006D3D15">
        <w:rPr>
          <w:rFonts w:asciiTheme="minorHAnsi" w:hAnsiTheme="minorHAnsi" w:cstheme="minorHAnsi"/>
          <w:sz w:val="24"/>
          <w:szCs w:val="24"/>
        </w:rPr>
        <w:t xml:space="preserve">that </w:t>
      </w:r>
      <w:r w:rsidR="00A37880" w:rsidRPr="00283BD7">
        <w:rPr>
          <w:rFonts w:asciiTheme="minorHAnsi" w:hAnsiTheme="minorHAnsi" w:cstheme="minorHAnsi"/>
          <w:sz w:val="24"/>
          <w:szCs w:val="24"/>
        </w:rPr>
        <w:t>group of academics</w:t>
      </w:r>
      <w:r w:rsidR="0005229D" w:rsidRPr="00283BD7">
        <w:rPr>
          <w:rFonts w:asciiTheme="minorHAnsi" w:hAnsiTheme="minorHAnsi" w:cstheme="minorHAnsi"/>
          <w:sz w:val="24"/>
          <w:szCs w:val="24"/>
        </w:rPr>
        <w:t xml:space="preserve"> consider </w:t>
      </w:r>
      <w:r w:rsidR="00FB2C77" w:rsidRPr="00283BD7">
        <w:rPr>
          <w:rFonts w:asciiTheme="minorHAnsi" w:hAnsiTheme="minorHAnsi" w:cstheme="minorHAnsi"/>
          <w:sz w:val="24"/>
          <w:szCs w:val="24"/>
        </w:rPr>
        <w:t>negative features through</w:t>
      </w:r>
      <w:r w:rsidR="0005229D" w:rsidRPr="00283BD7">
        <w:rPr>
          <w:rFonts w:asciiTheme="minorHAnsi" w:hAnsiTheme="minorHAnsi" w:cstheme="minorHAnsi"/>
          <w:sz w:val="24"/>
          <w:szCs w:val="24"/>
        </w:rPr>
        <w:t xml:space="preserve"> a special way of implementation</w:t>
      </w:r>
      <w:r w:rsidR="00A37880" w:rsidRPr="00283BD7">
        <w:rPr>
          <w:rFonts w:asciiTheme="minorHAnsi" w:hAnsiTheme="minorHAnsi" w:cstheme="minorHAnsi"/>
          <w:sz w:val="24"/>
          <w:szCs w:val="24"/>
        </w:rPr>
        <w:t xml:space="preserve"> of the relevant provisions</w:t>
      </w:r>
      <w:r w:rsidR="006D3D15">
        <w:rPr>
          <w:rFonts w:asciiTheme="minorHAnsi" w:hAnsiTheme="minorHAnsi" w:cstheme="minorHAnsi"/>
          <w:sz w:val="24"/>
          <w:szCs w:val="24"/>
        </w:rPr>
        <w:t xml:space="preserve"> suggested by them</w:t>
      </w:r>
      <w:r w:rsidR="00A37880" w:rsidRPr="00283BD7">
        <w:rPr>
          <w:rFonts w:asciiTheme="minorHAnsi" w:hAnsiTheme="minorHAnsi" w:cstheme="minorHAnsi"/>
          <w:sz w:val="24"/>
          <w:szCs w:val="24"/>
        </w:rPr>
        <w:t xml:space="preserve">. </w:t>
      </w:r>
      <w:r w:rsidR="0005229D" w:rsidRPr="00283BD7">
        <w:rPr>
          <w:rFonts w:asciiTheme="minorHAnsi" w:hAnsiTheme="minorHAnsi" w:cstheme="minorHAnsi"/>
          <w:sz w:val="24"/>
          <w:szCs w:val="24"/>
        </w:rPr>
        <w:t xml:space="preserve"> </w:t>
      </w:r>
      <w:r w:rsidR="00FB2C77" w:rsidRPr="00283BD7">
        <w:rPr>
          <w:rFonts w:asciiTheme="minorHAnsi" w:hAnsiTheme="minorHAnsi" w:cstheme="minorHAnsi"/>
          <w:sz w:val="24"/>
          <w:szCs w:val="24"/>
        </w:rPr>
        <w:t xml:space="preserve">  </w:t>
      </w:r>
    </w:p>
    <w:p w14:paraId="7A774B69" w14:textId="77777777" w:rsidR="00A37880" w:rsidRPr="00283BD7" w:rsidRDefault="00A37880" w:rsidP="002D11D5">
      <w:pPr>
        <w:pStyle w:val="Szvegtrzs"/>
        <w:spacing w:before="1"/>
        <w:ind w:left="0"/>
        <w:jc w:val="both"/>
        <w:rPr>
          <w:rFonts w:asciiTheme="minorHAnsi" w:hAnsiTheme="minorHAnsi" w:cstheme="minorHAnsi"/>
          <w:sz w:val="24"/>
          <w:szCs w:val="24"/>
        </w:rPr>
      </w:pPr>
    </w:p>
    <w:p w14:paraId="4D94EF6F" w14:textId="14F16CDB" w:rsidR="007E30E4" w:rsidRPr="00283BD7" w:rsidRDefault="00A37880" w:rsidP="002D11D5">
      <w:pPr>
        <w:pStyle w:val="Szvegtrzs"/>
        <w:spacing w:before="1"/>
        <w:ind w:left="0"/>
        <w:jc w:val="both"/>
        <w:rPr>
          <w:rFonts w:asciiTheme="minorHAnsi" w:hAnsiTheme="minorHAnsi" w:cstheme="minorHAnsi"/>
          <w:sz w:val="24"/>
          <w:szCs w:val="24"/>
        </w:rPr>
      </w:pPr>
      <w:r w:rsidRPr="00283BD7">
        <w:rPr>
          <w:rFonts w:asciiTheme="minorHAnsi" w:hAnsiTheme="minorHAnsi" w:cstheme="minorHAnsi"/>
          <w:sz w:val="24"/>
          <w:szCs w:val="24"/>
        </w:rPr>
        <w:t xml:space="preserve">However, with due respect to the sincere efforts and eloquent arguments of the drafters, </w:t>
      </w:r>
      <w:r w:rsidR="00CC2742" w:rsidRPr="00283BD7">
        <w:rPr>
          <w:rFonts w:asciiTheme="minorHAnsi" w:hAnsiTheme="minorHAnsi" w:cstheme="minorHAnsi"/>
          <w:sz w:val="24"/>
          <w:szCs w:val="24"/>
        </w:rPr>
        <w:t xml:space="preserve">in my view, </w:t>
      </w:r>
      <w:r w:rsidR="001A22D4" w:rsidRPr="00283BD7">
        <w:rPr>
          <w:rFonts w:asciiTheme="minorHAnsi" w:hAnsiTheme="minorHAnsi" w:cstheme="minorHAnsi"/>
          <w:sz w:val="24"/>
          <w:szCs w:val="24"/>
        </w:rPr>
        <w:t xml:space="preserve">the interpretation </w:t>
      </w:r>
      <w:r w:rsidR="007E30E4" w:rsidRPr="00283BD7">
        <w:rPr>
          <w:rFonts w:asciiTheme="minorHAnsi" w:hAnsiTheme="minorHAnsi" w:cstheme="minorHAnsi"/>
          <w:sz w:val="24"/>
          <w:szCs w:val="24"/>
        </w:rPr>
        <w:t xml:space="preserve">they outline </w:t>
      </w:r>
      <w:r w:rsidR="001A22D4" w:rsidRPr="00283BD7">
        <w:rPr>
          <w:rFonts w:asciiTheme="minorHAnsi" w:hAnsiTheme="minorHAnsi" w:cstheme="minorHAnsi"/>
          <w:sz w:val="24"/>
          <w:szCs w:val="24"/>
        </w:rPr>
        <w:t xml:space="preserve">and </w:t>
      </w:r>
      <w:r w:rsidR="007E30E4" w:rsidRPr="00283BD7">
        <w:rPr>
          <w:rFonts w:asciiTheme="minorHAnsi" w:hAnsiTheme="minorHAnsi" w:cstheme="minorHAnsi"/>
          <w:sz w:val="24"/>
          <w:szCs w:val="24"/>
        </w:rPr>
        <w:t xml:space="preserve">the way of </w:t>
      </w:r>
      <w:r w:rsidR="001A22D4" w:rsidRPr="00283BD7">
        <w:rPr>
          <w:rFonts w:asciiTheme="minorHAnsi" w:hAnsiTheme="minorHAnsi" w:cstheme="minorHAnsi"/>
          <w:sz w:val="24"/>
          <w:szCs w:val="24"/>
        </w:rPr>
        <w:t xml:space="preserve">implementation </w:t>
      </w:r>
      <w:r w:rsidR="007E30E4" w:rsidRPr="00283BD7">
        <w:rPr>
          <w:rFonts w:asciiTheme="minorHAnsi" w:hAnsiTheme="minorHAnsi" w:cstheme="minorHAnsi"/>
          <w:sz w:val="24"/>
          <w:szCs w:val="24"/>
        </w:rPr>
        <w:t xml:space="preserve">they propose </w:t>
      </w:r>
      <w:r w:rsidR="001A22D4" w:rsidRPr="00283BD7">
        <w:rPr>
          <w:rFonts w:asciiTheme="minorHAnsi" w:hAnsiTheme="minorHAnsi" w:cstheme="minorHAnsi"/>
          <w:sz w:val="24"/>
          <w:szCs w:val="24"/>
        </w:rPr>
        <w:t xml:space="preserve">would </w:t>
      </w:r>
      <w:r w:rsidR="007E30E4" w:rsidRPr="00283BD7">
        <w:rPr>
          <w:rFonts w:asciiTheme="minorHAnsi" w:hAnsiTheme="minorHAnsi" w:cstheme="minorHAnsi"/>
          <w:sz w:val="24"/>
          <w:szCs w:val="24"/>
        </w:rPr>
        <w:t xml:space="preserve">undo the extremely delicate balance established through the complex structure of Article 17, would not correspond to the objectives stated in the recitals of the Directive, and would not correspond to the provisions </w:t>
      </w:r>
      <w:r w:rsidR="006D3D15">
        <w:rPr>
          <w:rFonts w:asciiTheme="minorHAnsi" w:hAnsiTheme="minorHAnsi" w:cstheme="minorHAnsi"/>
          <w:sz w:val="24"/>
          <w:szCs w:val="24"/>
        </w:rPr>
        <w:t>to be impl</w:t>
      </w:r>
      <w:r w:rsidR="00864A59">
        <w:rPr>
          <w:rFonts w:asciiTheme="minorHAnsi" w:hAnsiTheme="minorHAnsi" w:cstheme="minorHAnsi"/>
          <w:sz w:val="24"/>
          <w:szCs w:val="24"/>
        </w:rPr>
        <w:t>e</w:t>
      </w:r>
      <w:r w:rsidR="006D3D15">
        <w:rPr>
          <w:rFonts w:asciiTheme="minorHAnsi" w:hAnsiTheme="minorHAnsi" w:cstheme="minorHAnsi"/>
          <w:sz w:val="24"/>
          <w:szCs w:val="24"/>
        </w:rPr>
        <w:t>mented</w:t>
      </w:r>
      <w:r w:rsidR="007E30E4" w:rsidRPr="00283BD7">
        <w:rPr>
          <w:rFonts w:asciiTheme="minorHAnsi" w:hAnsiTheme="minorHAnsi" w:cstheme="minorHAnsi"/>
          <w:sz w:val="24"/>
          <w:szCs w:val="24"/>
        </w:rPr>
        <w:t xml:space="preserve">. </w:t>
      </w:r>
    </w:p>
    <w:p w14:paraId="65B24B91" w14:textId="77777777" w:rsidR="00C90AA2" w:rsidRPr="00283BD7" w:rsidRDefault="00C90AA2" w:rsidP="002D11D5">
      <w:pPr>
        <w:pStyle w:val="Szvegtrzs"/>
        <w:spacing w:before="1"/>
        <w:ind w:left="0"/>
        <w:jc w:val="both"/>
        <w:rPr>
          <w:rFonts w:asciiTheme="minorHAnsi" w:hAnsiTheme="minorHAnsi" w:cstheme="minorHAnsi"/>
          <w:sz w:val="24"/>
          <w:szCs w:val="24"/>
        </w:rPr>
      </w:pPr>
    </w:p>
    <w:p w14:paraId="0409D624" w14:textId="729F65FD" w:rsidR="007E5743" w:rsidRPr="00283BD7" w:rsidRDefault="007E30E4" w:rsidP="002D11D5">
      <w:pPr>
        <w:pStyle w:val="Szvegtrzs"/>
        <w:spacing w:before="1"/>
        <w:ind w:left="0"/>
        <w:jc w:val="both"/>
        <w:rPr>
          <w:rFonts w:asciiTheme="minorHAnsi" w:hAnsiTheme="minorHAnsi" w:cstheme="minorHAnsi"/>
          <w:sz w:val="24"/>
          <w:szCs w:val="24"/>
        </w:rPr>
      </w:pPr>
      <w:r w:rsidRPr="00283BD7">
        <w:rPr>
          <w:rFonts w:asciiTheme="minorHAnsi" w:hAnsiTheme="minorHAnsi" w:cstheme="minorHAnsi"/>
          <w:sz w:val="24"/>
          <w:szCs w:val="24"/>
        </w:rPr>
        <w:t xml:space="preserve">The main element of the Recommendation </w:t>
      </w:r>
      <w:r w:rsidR="00C90AA2" w:rsidRPr="00283BD7">
        <w:rPr>
          <w:rFonts w:asciiTheme="minorHAnsi" w:hAnsiTheme="minorHAnsi" w:cstheme="minorHAnsi"/>
          <w:sz w:val="24"/>
          <w:szCs w:val="24"/>
        </w:rPr>
        <w:t xml:space="preserve">is the proposal on a special procedure to be applied as a “complaint and redress mechanism” provided in Article </w:t>
      </w:r>
      <w:r w:rsidR="00FA6B61">
        <w:rPr>
          <w:rFonts w:asciiTheme="minorHAnsi" w:hAnsiTheme="minorHAnsi" w:cstheme="minorHAnsi"/>
          <w:sz w:val="24"/>
          <w:szCs w:val="24"/>
        </w:rPr>
        <w:t>1</w:t>
      </w:r>
      <w:r w:rsidR="00806EDC">
        <w:rPr>
          <w:rFonts w:asciiTheme="minorHAnsi" w:hAnsiTheme="minorHAnsi" w:cstheme="minorHAnsi"/>
          <w:sz w:val="24"/>
          <w:szCs w:val="24"/>
        </w:rPr>
        <w:t>7</w:t>
      </w:r>
      <w:r w:rsidR="00C90AA2" w:rsidRPr="00283BD7">
        <w:rPr>
          <w:rFonts w:asciiTheme="minorHAnsi" w:hAnsiTheme="minorHAnsi" w:cstheme="minorHAnsi"/>
          <w:sz w:val="24"/>
          <w:szCs w:val="24"/>
        </w:rPr>
        <w:t xml:space="preserve">(9) of the Directive and it is in that aspect that the above-mentioned contradictions are mainly manifested. I discuss mainly this proposal below.  I do agree that </w:t>
      </w:r>
      <w:r w:rsidR="00806EDC">
        <w:rPr>
          <w:rFonts w:asciiTheme="minorHAnsi" w:hAnsiTheme="minorHAnsi" w:cstheme="minorHAnsi"/>
          <w:sz w:val="24"/>
          <w:szCs w:val="24"/>
        </w:rPr>
        <w:t xml:space="preserve">the compliant and redress </w:t>
      </w:r>
      <w:r w:rsidR="00C90AA2" w:rsidRPr="00283BD7">
        <w:rPr>
          <w:rFonts w:asciiTheme="minorHAnsi" w:hAnsiTheme="minorHAnsi" w:cstheme="minorHAnsi"/>
          <w:sz w:val="24"/>
          <w:szCs w:val="24"/>
        </w:rPr>
        <w:t>mechanism is a key component of the regulation in Article 17</w:t>
      </w:r>
      <w:r w:rsidR="00691E0B" w:rsidRPr="00283BD7">
        <w:rPr>
          <w:rFonts w:asciiTheme="minorHAnsi" w:hAnsiTheme="minorHAnsi" w:cstheme="minorHAnsi"/>
          <w:sz w:val="24"/>
          <w:szCs w:val="24"/>
        </w:rPr>
        <w:t xml:space="preserve"> and </w:t>
      </w:r>
      <w:r w:rsidR="00C90AA2" w:rsidRPr="00283BD7">
        <w:rPr>
          <w:rFonts w:asciiTheme="minorHAnsi" w:hAnsiTheme="minorHAnsi" w:cstheme="minorHAnsi"/>
          <w:sz w:val="24"/>
          <w:szCs w:val="24"/>
        </w:rPr>
        <w:t>that it must be</w:t>
      </w:r>
      <w:r w:rsidR="00691E0B" w:rsidRPr="00283BD7">
        <w:rPr>
          <w:rFonts w:asciiTheme="minorHAnsi" w:hAnsiTheme="minorHAnsi" w:cstheme="minorHAnsi"/>
          <w:sz w:val="24"/>
          <w:szCs w:val="24"/>
        </w:rPr>
        <w:t xml:space="preserve"> </w:t>
      </w:r>
      <w:r w:rsidR="00C90AA2" w:rsidRPr="00283BD7">
        <w:rPr>
          <w:rFonts w:asciiTheme="minorHAnsi" w:hAnsiTheme="minorHAnsi" w:cstheme="minorHAnsi"/>
          <w:sz w:val="24"/>
          <w:szCs w:val="24"/>
        </w:rPr>
        <w:t xml:space="preserve">effective and expeditious </w:t>
      </w:r>
      <w:r w:rsidR="00691E0B" w:rsidRPr="00283BD7">
        <w:rPr>
          <w:rFonts w:asciiTheme="minorHAnsi" w:hAnsiTheme="minorHAnsi" w:cstheme="minorHAnsi"/>
          <w:sz w:val="24"/>
          <w:szCs w:val="24"/>
        </w:rPr>
        <w:t xml:space="preserve">in order to ensure the applicability of </w:t>
      </w:r>
      <w:r w:rsidR="00806EDC">
        <w:rPr>
          <w:rFonts w:asciiTheme="minorHAnsi" w:hAnsiTheme="minorHAnsi" w:cstheme="minorHAnsi"/>
          <w:sz w:val="24"/>
          <w:szCs w:val="24"/>
        </w:rPr>
        <w:t>the</w:t>
      </w:r>
      <w:r w:rsidR="00691E0B" w:rsidRPr="00283BD7">
        <w:rPr>
          <w:rFonts w:asciiTheme="minorHAnsi" w:hAnsiTheme="minorHAnsi" w:cstheme="minorHAnsi"/>
          <w:sz w:val="24"/>
          <w:szCs w:val="24"/>
        </w:rPr>
        <w:t xml:space="preserve"> exceptions and limitations </w:t>
      </w:r>
      <w:r w:rsidR="00806EDC">
        <w:rPr>
          <w:rFonts w:asciiTheme="minorHAnsi" w:hAnsiTheme="minorHAnsi" w:cstheme="minorHAnsi"/>
          <w:sz w:val="24"/>
          <w:szCs w:val="24"/>
        </w:rPr>
        <w:t xml:space="preserve">concerned </w:t>
      </w:r>
      <w:r w:rsidR="00691E0B" w:rsidRPr="00283BD7">
        <w:rPr>
          <w:rFonts w:asciiTheme="minorHAnsi" w:hAnsiTheme="minorHAnsi" w:cstheme="minorHAnsi"/>
          <w:sz w:val="24"/>
          <w:szCs w:val="24"/>
        </w:rPr>
        <w:t>and to offer protection against “over-blocking”. However, other ways should be found to achiev</w:t>
      </w:r>
      <w:r w:rsidR="00FE5725" w:rsidRPr="00283BD7">
        <w:rPr>
          <w:rFonts w:asciiTheme="minorHAnsi" w:hAnsiTheme="minorHAnsi" w:cstheme="minorHAnsi"/>
          <w:sz w:val="24"/>
          <w:szCs w:val="24"/>
        </w:rPr>
        <w:t>e</w:t>
      </w:r>
      <w:r w:rsidR="00691E0B" w:rsidRPr="00283BD7">
        <w:rPr>
          <w:rFonts w:asciiTheme="minorHAnsi" w:hAnsiTheme="minorHAnsi" w:cstheme="minorHAnsi"/>
          <w:sz w:val="24"/>
          <w:szCs w:val="24"/>
        </w:rPr>
        <w:t xml:space="preserve"> these objectives than what is proposed in the </w:t>
      </w:r>
      <w:r w:rsidR="00FE5725" w:rsidRPr="00283BD7">
        <w:rPr>
          <w:rFonts w:asciiTheme="minorHAnsi" w:hAnsiTheme="minorHAnsi" w:cstheme="minorHAnsi"/>
          <w:sz w:val="24"/>
          <w:szCs w:val="24"/>
        </w:rPr>
        <w:t xml:space="preserve">Recommendations because it would contradict the very concept of </w:t>
      </w:r>
      <w:r w:rsidR="00F46359">
        <w:rPr>
          <w:rFonts w:asciiTheme="minorHAnsi" w:hAnsiTheme="minorHAnsi" w:cstheme="minorHAnsi"/>
          <w:sz w:val="24"/>
          <w:szCs w:val="24"/>
        </w:rPr>
        <w:t xml:space="preserve">a </w:t>
      </w:r>
      <w:r w:rsidR="00FE5725" w:rsidRPr="00283BD7">
        <w:rPr>
          <w:rFonts w:asciiTheme="minorHAnsi" w:hAnsiTheme="minorHAnsi" w:cstheme="minorHAnsi"/>
          <w:sz w:val="24"/>
          <w:szCs w:val="24"/>
        </w:rPr>
        <w:t>“complaint and redress mechanism” and the related provisions</w:t>
      </w:r>
      <w:r w:rsidR="00806EDC">
        <w:rPr>
          <w:rFonts w:asciiTheme="minorHAnsi" w:hAnsiTheme="minorHAnsi" w:cstheme="minorHAnsi"/>
          <w:sz w:val="24"/>
          <w:szCs w:val="24"/>
        </w:rPr>
        <w:t>. It</w:t>
      </w:r>
      <w:r w:rsidR="00FE5725" w:rsidRPr="00283BD7">
        <w:rPr>
          <w:rFonts w:asciiTheme="minorHAnsi" w:hAnsiTheme="minorHAnsi" w:cstheme="minorHAnsi"/>
          <w:sz w:val="24"/>
          <w:szCs w:val="24"/>
        </w:rPr>
        <w:t xml:space="preserve"> would introduce completely new rules to which</w:t>
      </w:r>
      <w:r w:rsidR="00FA0EA2" w:rsidRPr="00283BD7">
        <w:rPr>
          <w:rFonts w:asciiTheme="minorHAnsi" w:hAnsiTheme="minorHAnsi" w:cstheme="minorHAnsi"/>
          <w:sz w:val="24"/>
          <w:szCs w:val="24"/>
        </w:rPr>
        <w:t xml:space="preserve">, </w:t>
      </w:r>
      <w:r w:rsidR="007E5743" w:rsidRPr="00283BD7">
        <w:rPr>
          <w:rFonts w:asciiTheme="minorHAnsi" w:hAnsiTheme="minorHAnsi" w:cstheme="minorHAnsi"/>
          <w:sz w:val="24"/>
          <w:szCs w:val="24"/>
        </w:rPr>
        <w:t xml:space="preserve">because they would be of </w:t>
      </w:r>
      <w:r w:rsidR="007C5463" w:rsidRPr="00283BD7">
        <w:rPr>
          <w:rFonts w:asciiTheme="minorHAnsi" w:hAnsiTheme="minorHAnsi" w:cstheme="minorHAnsi"/>
          <w:sz w:val="24"/>
          <w:szCs w:val="24"/>
        </w:rPr>
        <w:t xml:space="preserve">a </w:t>
      </w:r>
      <w:r w:rsidR="00FA0EA2" w:rsidRPr="00283BD7">
        <w:rPr>
          <w:rFonts w:asciiTheme="minorHAnsi" w:hAnsiTheme="minorHAnsi" w:cstheme="minorHAnsi"/>
          <w:sz w:val="24"/>
          <w:szCs w:val="24"/>
        </w:rPr>
        <w:t>critical importance,</w:t>
      </w:r>
      <w:r w:rsidR="00FE5725" w:rsidRPr="00283BD7">
        <w:rPr>
          <w:rFonts w:asciiTheme="minorHAnsi" w:hAnsiTheme="minorHAnsi" w:cstheme="minorHAnsi"/>
          <w:sz w:val="24"/>
          <w:szCs w:val="24"/>
        </w:rPr>
        <w:t xml:space="preserve"> there must have been some </w:t>
      </w:r>
      <w:r w:rsidR="00FA0EA2" w:rsidRPr="00283BD7">
        <w:rPr>
          <w:rFonts w:asciiTheme="minorHAnsi" w:hAnsiTheme="minorHAnsi" w:cstheme="minorHAnsi"/>
          <w:sz w:val="24"/>
          <w:szCs w:val="24"/>
        </w:rPr>
        <w:t>clear and</w:t>
      </w:r>
      <w:r w:rsidR="007E5743" w:rsidRPr="00283BD7">
        <w:rPr>
          <w:rFonts w:asciiTheme="minorHAnsi" w:hAnsiTheme="minorHAnsi" w:cstheme="minorHAnsi"/>
          <w:sz w:val="24"/>
          <w:szCs w:val="24"/>
        </w:rPr>
        <w:t xml:space="preserve"> emphatic</w:t>
      </w:r>
      <w:r w:rsidR="00FA0EA2" w:rsidRPr="00283BD7">
        <w:rPr>
          <w:rFonts w:asciiTheme="minorHAnsi" w:hAnsiTheme="minorHAnsi" w:cstheme="minorHAnsi"/>
          <w:sz w:val="24"/>
          <w:szCs w:val="24"/>
        </w:rPr>
        <w:t xml:space="preserve"> </w:t>
      </w:r>
      <w:r w:rsidR="00FE5725" w:rsidRPr="00283BD7">
        <w:rPr>
          <w:rFonts w:asciiTheme="minorHAnsi" w:hAnsiTheme="minorHAnsi" w:cstheme="minorHAnsi"/>
          <w:sz w:val="24"/>
          <w:szCs w:val="24"/>
        </w:rPr>
        <w:t xml:space="preserve">reference in the </w:t>
      </w:r>
      <w:r w:rsidR="00FA0EA2" w:rsidRPr="00283BD7">
        <w:rPr>
          <w:rFonts w:asciiTheme="minorHAnsi" w:hAnsiTheme="minorHAnsi" w:cstheme="minorHAnsi"/>
          <w:sz w:val="24"/>
          <w:szCs w:val="24"/>
        </w:rPr>
        <w:t xml:space="preserve">provisions, or as a minimum in the recitals, of the </w:t>
      </w:r>
      <w:r w:rsidR="007E5743" w:rsidRPr="00283BD7">
        <w:rPr>
          <w:rFonts w:asciiTheme="minorHAnsi" w:hAnsiTheme="minorHAnsi" w:cstheme="minorHAnsi"/>
          <w:sz w:val="24"/>
          <w:szCs w:val="24"/>
        </w:rPr>
        <w:t xml:space="preserve">Directive, </w:t>
      </w:r>
      <w:r w:rsidR="007C5463" w:rsidRPr="00283BD7">
        <w:rPr>
          <w:rFonts w:asciiTheme="minorHAnsi" w:hAnsiTheme="minorHAnsi" w:cstheme="minorHAnsi"/>
          <w:sz w:val="24"/>
          <w:szCs w:val="24"/>
        </w:rPr>
        <w:t xml:space="preserve">if they really had been contemplated, </w:t>
      </w:r>
      <w:r w:rsidR="007E5743" w:rsidRPr="00283BD7">
        <w:rPr>
          <w:rFonts w:asciiTheme="minorHAnsi" w:hAnsiTheme="minorHAnsi" w:cstheme="minorHAnsi"/>
          <w:sz w:val="24"/>
          <w:szCs w:val="24"/>
        </w:rPr>
        <w:t>but there is none</w:t>
      </w:r>
      <w:r w:rsidR="00806EDC">
        <w:rPr>
          <w:rFonts w:asciiTheme="minorHAnsi" w:hAnsiTheme="minorHAnsi" w:cstheme="minorHAnsi"/>
          <w:sz w:val="24"/>
          <w:szCs w:val="24"/>
        </w:rPr>
        <w:t xml:space="preserve">. No </w:t>
      </w:r>
      <w:r w:rsidR="007E5743" w:rsidRPr="00283BD7">
        <w:rPr>
          <w:rFonts w:asciiTheme="minorHAnsi" w:hAnsiTheme="minorHAnsi" w:cstheme="minorHAnsi"/>
          <w:sz w:val="24"/>
          <w:szCs w:val="24"/>
        </w:rPr>
        <w:t xml:space="preserve">such kind of </w:t>
      </w:r>
      <w:r w:rsidR="00806EDC">
        <w:rPr>
          <w:rFonts w:asciiTheme="minorHAnsi" w:hAnsiTheme="minorHAnsi" w:cstheme="minorHAnsi"/>
          <w:sz w:val="24"/>
          <w:szCs w:val="24"/>
        </w:rPr>
        <w:t xml:space="preserve">preliminary procedure </w:t>
      </w:r>
      <w:r w:rsidR="007C5463" w:rsidRPr="00283BD7">
        <w:rPr>
          <w:rFonts w:asciiTheme="minorHAnsi" w:hAnsiTheme="minorHAnsi" w:cstheme="minorHAnsi"/>
          <w:sz w:val="24"/>
          <w:szCs w:val="24"/>
        </w:rPr>
        <w:t xml:space="preserve">has been </w:t>
      </w:r>
      <w:r w:rsidR="007E5743" w:rsidRPr="00283BD7">
        <w:rPr>
          <w:rFonts w:asciiTheme="minorHAnsi" w:hAnsiTheme="minorHAnsi" w:cstheme="minorHAnsi"/>
          <w:sz w:val="24"/>
          <w:szCs w:val="24"/>
        </w:rPr>
        <w:t xml:space="preserve">foreseen that could be characterized as </w:t>
      </w:r>
      <w:r w:rsidR="00E83AAA">
        <w:rPr>
          <w:rFonts w:asciiTheme="minorHAnsi" w:hAnsiTheme="minorHAnsi" w:cstheme="minorHAnsi"/>
          <w:sz w:val="24"/>
          <w:szCs w:val="24"/>
        </w:rPr>
        <w:t xml:space="preserve">a </w:t>
      </w:r>
      <w:r w:rsidR="007E5743" w:rsidRPr="00283BD7">
        <w:rPr>
          <w:rFonts w:asciiTheme="minorHAnsi" w:hAnsiTheme="minorHAnsi" w:cstheme="minorHAnsi"/>
          <w:sz w:val="24"/>
          <w:szCs w:val="24"/>
        </w:rPr>
        <w:t>“complaint and redress mechanism”</w:t>
      </w:r>
      <w:r w:rsidR="00806EDC">
        <w:rPr>
          <w:rFonts w:asciiTheme="minorHAnsi" w:hAnsiTheme="minorHAnsi" w:cstheme="minorHAnsi"/>
          <w:sz w:val="24"/>
          <w:szCs w:val="24"/>
        </w:rPr>
        <w:t>.</w:t>
      </w:r>
      <w:r w:rsidR="007E5743" w:rsidRPr="00283BD7">
        <w:rPr>
          <w:rFonts w:asciiTheme="minorHAnsi" w:hAnsiTheme="minorHAnsi" w:cstheme="minorHAnsi"/>
          <w:sz w:val="24"/>
          <w:szCs w:val="24"/>
        </w:rPr>
        <w:t xml:space="preserve"> </w:t>
      </w:r>
    </w:p>
    <w:p w14:paraId="0868DC1A" w14:textId="77777777" w:rsidR="007E5743" w:rsidRPr="00283BD7" w:rsidRDefault="007E5743" w:rsidP="002D11D5">
      <w:pPr>
        <w:pStyle w:val="Szvegtrzs"/>
        <w:spacing w:before="1"/>
        <w:ind w:left="0"/>
        <w:jc w:val="both"/>
        <w:rPr>
          <w:rFonts w:asciiTheme="minorHAnsi" w:hAnsiTheme="minorHAnsi" w:cstheme="minorHAnsi"/>
          <w:sz w:val="24"/>
          <w:szCs w:val="24"/>
        </w:rPr>
      </w:pPr>
    </w:p>
    <w:p w14:paraId="39D08DB0" w14:textId="72934628" w:rsidR="00A50A8A" w:rsidRPr="00283BD7" w:rsidRDefault="007E5743" w:rsidP="002D11D5">
      <w:pPr>
        <w:pStyle w:val="Szvegtrzs"/>
        <w:spacing w:before="1"/>
        <w:ind w:left="0"/>
        <w:jc w:val="both"/>
        <w:rPr>
          <w:rFonts w:asciiTheme="minorHAnsi" w:hAnsiTheme="minorHAnsi" w:cstheme="minorHAnsi"/>
          <w:sz w:val="24"/>
          <w:szCs w:val="24"/>
        </w:rPr>
      </w:pPr>
      <w:r w:rsidRPr="00283BD7">
        <w:rPr>
          <w:rFonts w:asciiTheme="minorHAnsi" w:hAnsiTheme="minorHAnsi" w:cstheme="minorHAnsi"/>
          <w:sz w:val="24"/>
          <w:szCs w:val="24"/>
        </w:rPr>
        <w:t xml:space="preserve">Instead of </w:t>
      </w:r>
      <w:r w:rsidR="007F7F5E" w:rsidRPr="00283BD7">
        <w:rPr>
          <w:rFonts w:asciiTheme="minorHAnsi" w:hAnsiTheme="minorHAnsi" w:cstheme="minorHAnsi"/>
          <w:sz w:val="24"/>
          <w:szCs w:val="24"/>
        </w:rPr>
        <w:t xml:space="preserve">trying to </w:t>
      </w:r>
      <w:r w:rsidR="00806EDC">
        <w:rPr>
          <w:rFonts w:asciiTheme="minorHAnsi" w:hAnsiTheme="minorHAnsi" w:cstheme="minorHAnsi"/>
          <w:sz w:val="24"/>
          <w:szCs w:val="24"/>
        </w:rPr>
        <w:t xml:space="preserve">de facto </w:t>
      </w:r>
      <w:r w:rsidR="007C5463" w:rsidRPr="00283BD7">
        <w:rPr>
          <w:rFonts w:asciiTheme="minorHAnsi" w:hAnsiTheme="minorHAnsi" w:cstheme="minorHAnsi"/>
          <w:sz w:val="24"/>
          <w:szCs w:val="24"/>
        </w:rPr>
        <w:t>amend the Directive in th</w:t>
      </w:r>
      <w:r w:rsidR="007F7F5E" w:rsidRPr="00283BD7">
        <w:rPr>
          <w:rFonts w:asciiTheme="minorHAnsi" w:hAnsiTheme="minorHAnsi" w:cstheme="minorHAnsi"/>
          <w:sz w:val="24"/>
          <w:szCs w:val="24"/>
        </w:rPr>
        <w:t xml:space="preserve">e suggested </w:t>
      </w:r>
      <w:r w:rsidR="007C5463" w:rsidRPr="00283BD7">
        <w:rPr>
          <w:rFonts w:asciiTheme="minorHAnsi" w:hAnsiTheme="minorHAnsi" w:cstheme="minorHAnsi"/>
          <w:sz w:val="24"/>
          <w:szCs w:val="24"/>
        </w:rPr>
        <w:t xml:space="preserve">way </w:t>
      </w:r>
      <w:r w:rsidR="00E83AAA">
        <w:rPr>
          <w:rFonts w:asciiTheme="minorHAnsi" w:hAnsiTheme="minorHAnsi" w:cstheme="minorHAnsi"/>
          <w:sz w:val="24"/>
          <w:szCs w:val="24"/>
        </w:rPr>
        <w:t>at this</w:t>
      </w:r>
      <w:r w:rsidR="00806EDC">
        <w:rPr>
          <w:rFonts w:asciiTheme="minorHAnsi" w:hAnsiTheme="minorHAnsi" w:cstheme="minorHAnsi"/>
          <w:sz w:val="24"/>
          <w:szCs w:val="24"/>
        </w:rPr>
        <w:t xml:space="preserve"> stage </w:t>
      </w:r>
      <w:r w:rsidR="007C5463" w:rsidRPr="00283BD7">
        <w:rPr>
          <w:rFonts w:asciiTheme="minorHAnsi" w:hAnsiTheme="minorHAnsi" w:cstheme="minorHAnsi"/>
          <w:sz w:val="24"/>
          <w:szCs w:val="24"/>
        </w:rPr>
        <w:t>through such “implementation</w:t>
      </w:r>
      <w:r w:rsidR="007F7F5E" w:rsidRPr="00283BD7">
        <w:rPr>
          <w:rFonts w:asciiTheme="minorHAnsi" w:hAnsiTheme="minorHAnsi" w:cstheme="minorHAnsi"/>
          <w:sz w:val="24"/>
          <w:szCs w:val="24"/>
        </w:rPr>
        <w:t>”</w:t>
      </w:r>
      <w:r w:rsidRPr="00283BD7">
        <w:rPr>
          <w:rFonts w:asciiTheme="minorHAnsi" w:hAnsiTheme="minorHAnsi" w:cstheme="minorHAnsi"/>
          <w:sz w:val="24"/>
          <w:szCs w:val="24"/>
        </w:rPr>
        <w:t xml:space="preserve">, </w:t>
      </w:r>
      <w:r w:rsidR="00806EDC">
        <w:rPr>
          <w:rFonts w:asciiTheme="minorHAnsi" w:hAnsiTheme="minorHAnsi" w:cstheme="minorHAnsi"/>
          <w:sz w:val="24"/>
          <w:szCs w:val="24"/>
        </w:rPr>
        <w:t xml:space="preserve">we should rather </w:t>
      </w:r>
      <w:r w:rsidRPr="00283BD7">
        <w:rPr>
          <w:rFonts w:asciiTheme="minorHAnsi" w:hAnsiTheme="minorHAnsi" w:cstheme="minorHAnsi"/>
          <w:sz w:val="24"/>
          <w:szCs w:val="24"/>
        </w:rPr>
        <w:t>concentrate on making the mechanism truly effective and expeditious</w:t>
      </w:r>
      <w:r w:rsidR="007C5463" w:rsidRPr="00283BD7">
        <w:rPr>
          <w:rFonts w:asciiTheme="minorHAnsi" w:hAnsiTheme="minorHAnsi" w:cstheme="minorHAnsi"/>
          <w:sz w:val="24"/>
          <w:szCs w:val="24"/>
        </w:rPr>
        <w:t xml:space="preserve"> </w:t>
      </w:r>
      <w:r w:rsidR="007F7F5E" w:rsidRPr="00283BD7">
        <w:rPr>
          <w:rFonts w:asciiTheme="minorHAnsi" w:hAnsiTheme="minorHAnsi" w:cstheme="minorHAnsi"/>
          <w:sz w:val="24"/>
          <w:szCs w:val="24"/>
        </w:rPr>
        <w:t xml:space="preserve">in the way it is provided in </w:t>
      </w:r>
      <w:r w:rsidR="007C5463" w:rsidRPr="00283BD7">
        <w:rPr>
          <w:rFonts w:asciiTheme="minorHAnsi" w:hAnsiTheme="minorHAnsi" w:cstheme="minorHAnsi"/>
          <w:sz w:val="24"/>
          <w:szCs w:val="24"/>
        </w:rPr>
        <w:t>Article 17</w:t>
      </w:r>
      <w:r w:rsidRPr="00283BD7">
        <w:rPr>
          <w:rFonts w:asciiTheme="minorHAnsi" w:hAnsiTheme="minorHAnsi" w:cstheme="minorHAnsi"/>
          <w:sz w:val="24"/>
          <w:szCs w:val="24"/>
        </w:rPr>
        <w:t xml:space="preserve">. </w:t>
      </w:r>
      <w:r w:rsidR="007F7F5E" w:rsidRPr="00283BD7">
        <w:rPr>
          <w:rFonts w:asciiTheme="minorHAnsi" w:hAnsiTheme="minorHAnsi" w:cstheme="minorHAnsi"/>
          <w:sz w:val="24"/>
          <w:szCs w:val="24"/>
        </w:rPr>
        <w:t>This is possible</w:t>
      </w:r>
      <w:r w:rsidR="007C5463" w:rsidRPr="00283BD7">
        <w:rPr>
          <w:rFonts w:asciiTheme="minorHAnsi" w:hAnsiTheme="minorHAnsi" w:cstheme="minorHAnsi"/>
          <w:sz w:val="24"/>
          <w:szCs w:val="24"/>
        </w:rPr>
        <w:t xml:space="preserve"> through close and meaningful cooperation of </w:t>
      </w:r>
      <w:r w:rsidR="007F7F5E" w:rsidRPr="00283BD7">
        <w:rPr>
          <w:rFonts w:asciiTheme="minorHAnsi" w:hAnsiTheme="minorHAnsi" w:cstheme="minorHAnsi"/>
          <w:sz w:val="24"/>
          <w:szCs w:val="24"/>
        </w:rPr>
        <w:t xml:space="preserve">the </w:t>
      </w:r>
      <w:r w:rsidR="007C5463" w:rsidRPr="00283BD7">
        <w:rPr>
          <w:rFonts w:asciiTheme="minorHAnsi" w:hAnsiTheme="minorHAnsi" w:cstheme="minorHAnsi"/>
          <w:sz w:val="24"/>
          <w:szCs w:val="24"/>
        </w:rPr>
        <w:t xml:space="preserve">OCSSPs and </w:t>
      </w:r>
      <w:r w:rsidR="007F7F5E" w:rsidRPr="00283BD7">
        <w:rPr>
          <w:rFonts w:asciiTheme="minorHAnsi" w:hAnsiTheme="minorHAnsi" w:cstheme="minorHAnsi"/>
          <w:sz w:val="24"/>
          <w:szCs w:val="24"/>
        </w:rPr>
        <w:t xml:space="preserve">the </w:t>
      </w:r>
      <w:r w:rsidR="007C5463" w:rsidRPr="00283BD7">
        <w:rPr>
          <w:rFonts w:asciiTheme="minorHAnsi" w:hAnsiTheme="minorHAnsi" w:cstheme="minorHAnsi"/>
          <w:sz w:val="24"/>
          <w:szCs w:val="24"/>
        </w:rPr>
        <w:t>rightholders.</w:t>
      </w:r>
      <w:r w:rsidR="007F7F5E" w:rsidRPr="00283BD7">
        <w:rPr>
          <w:rFonts w:asciiTheme="minorHAnsi" w:hAnsiTheme="minorHAnsi" w:cstheme="minorHAnsi"/>
          <w:sz w:val="24"/>
          <w:szCs w:val="24"/>
        </w:rPr>
        <w:t xml:space="preserve"> </w:t>
      </w:r>
      <w:r w:rsidR="00806EDC">
        <w:rPr>
          <w:rFonts w:asciiTheme="minorHAnsi" w:hAnsiTheme="minorHAnsi" w:cstheme="minorHAnsi"/>
          <w:sz w:val="24"/>
          <w:szCs w:val="24"/>
        </w:rPr>
        <w:t>I</w:t>
      </w:r>
      <w:r w:rsidR="007F7F5E" w:rsidRPr="00283BD7">
        <w:rPr>
          <w:rFonts w:asciiTheme="minorHAnsi" w:hAnsiTheme="minorHAnsi" w:cstheme="minorHAnsi"/>
          <w:sz w:val="24"/>
          <w:szCs w:val="24"/>
        </w:rPr>
        <w:t>n th</w:t>
      </w:r>
      <w:r w:rsidR="00613FCB">
        <w:rPr>
          <w:rFonts w:asciiTheme="minorHAnsi" w:hAnsiTheme="minorHAnsi" w:cstheme="minorHAnsi"/>
          <w:sz w:val="24"/>
          <w:szCs w:val="24"/>
        </w:rPr>
        <w:t>e</w:t>
      </w:r>
      <w:r w:rsidR="007F7F5E" w:rsidRPr="00283BD7">
        <w:rPr>
          <w:rFonts w:asciiTheme="minorHAnsi" w:hAnsiTheme="minorHAnsi" w:cstheme="minorHAnsi"/>
          <w:sz w:val="24"/>
          <w:szCs w:val="24"/>
        </w:rPr>
        <w:t xml:space="preserve"> context</w:t>
      </w:r>
      <w:r w:rsidR="00806EDC">
        <w:rPr>
          <w:rFonts w:asciiTheme="minorHAnsi" w:hAnsiTheme="minorHAnsi" w:cstheme="minorHAnsi"/>
          <w:sz w:val="24"/>
          <w:szCs w:val="24"/>
        </w:rPr>
        <w:t xml:space="preserve"> of that cooperation</w:t>
      </w:r>
      <w:r w:rsidR="007F7F5E" w:rsidRPr="00283BD7">
        <w:rPr>
          <w:rFonts w:asciiTheme="minorHAnsi" w:hAnsiTheme="minorHAnsi" w:cstheme="minorHAnsi"/>
          <w:sz w:val="24"/>
          <w:szCs w:val="24"/>
        </w:rPr>
        <w:t xml:space="preserve">, certain </w:t>
      </w:r>
      <w:r w:rsidR="00806EDC">
        <w:rPr>
          <w:rFonts w:asciiTheme="minorHAnsi" w:hAnsiTheme="minorHAnsi" w:cstheme="minorHAnsi"/>
          <w:sz w:val="24"/>
          <w:szCs w:val="24"/>
        </w:rPr>
        <w:t>ideas</w:t>
      </w:r>
      <w:r w:rsidR="007F7F5E" w:rsidRPr="00283BD7">
        <w:rPr>
          <w:rFonts w:asciiTheme="minorHAnsi" w:hAnsiTheme="minorHAnsi" w:cstheme="minorHAnsi"/>
          <w:sz w:val="24"/>
          <w:szCs w:val="24"/>
        </w:rPr>
        <w:t xml:space="preserve"> mentioned in the Recommendations may also be applied usefully – just not in the framework of a “complaint and redress mechanism” </w:t>
      </w:r>
      <w:r w:rsidR="00A50A8A" w:rsidRPr="00283BD7">
        <w:rPr>
          <w:rFonts w:asciiTheme="minorHAnsi" w:hAnsiTheme="minorHAnsi" w:cstheme="minorHAnsi"/>
          <w:sz w:val="24"/>
          <w:szCs w:val="24"/>
        </w:rPr>
        <w:t xml:space="preserve">available to </w:t>
      </w:r>
      <w:r w:rsidR="007F7F5E" w:rsidRPr="00283BD7">
        <w:rPr>
          <w:rFonts w:asciiTheme="minorHAnsi" w:hAnsiTheme="minorHAnsi" w:cstheme="minorHAnsi"/>
          <w:sz w:val="24"/>
          <w:szCs w:val="24"/>
        </w:rPr>
        <w:t xml:space="preserve">rightholders </w:t>
      </w:r>
      <w:r w:rsidR="00A50A8A" w:rsidRPr="00283BD7">
        <w:rPr>
          <w:rFonts w:asciiTheme="minorHAnsi" w:hAnsiTheme="minorHAnsi" w:cstheme="minorHAnsi"/>
          <w:sz w:val="24"/>
          <w:szCs w:val="24"/>
        </w:rPr>
        <w:t xml:space="preserve">in case of </w:t>
      </w:r>
      <w:r w:rsidR="007F7F5E" w:rsidRPr="00283BD7">
        <w:rPr>
          <w:rFonts w:asciiTheme="minorHAnsi" w:hAnsiTheme="minorHAnsi" w:cstheme="minorHAnsi"/>
          <w:sz w:val="24"/>
          <w:szCs w:val="24"/>
        </w:rPr>
        <w:t xml:space="preserve">non-application of the provisions of the Article </w:t>
      </w:r>
      <w:r w:rsidR="00A50A8A" w:rsidRPr="00283BD7">
        <w:rPr>
          <w:rFonts w:asciiTheme="minorHAnsi" w:hAnsiTheme="minorHAnsi" w:cstheme="minorHAnsi"/>
          <w:sz w:val="24"/>
          <w:szCs w:val="24"/>
        </w:rPr>
        <w:t xml:space="preserve">(not blocking access to </w:t>
      </w:r>
      <w:r w:rsidR="00553FF8">
        <w:rPr>
          <w:rFonts w:asciiTheme="minorHAnsi" w:hAnsiTheme="minorHAnsi" w:cstheme="minorHAnsi"/>
          <w:sz w:val="24"/>
          <w:szCs w:val="24"/>
        </w:rPr>
        <w:t xml:space="preserve">alleged </w:t>
      </w:r>
      <w:r w:rsidR="00A50A8A" w:rsidRPr="00283BD7">
        <w:rPr>
          <w:rFonts w:asciiTheme="minorHAnsi" w:hAnsiTheme="minorHAnsi" w:cstheme="minorHAnsi"/>
          <w:sz w:val="24"/>
          <w:szCs w:val="24"/>
        </w:rPr>
        <w:t xml:space="preserve">infringing copies) </w:t>
      </w:r>
      <w:r w:rsidR="007F7F5E" w:rsidRPr="00283BD7">
        <w:rPr>
          <w:rFonts w:asciiTheme="minorHAnsi" w:hAnsiTheme="minorHAnsi" w:cstheme="minorHAnsi"/>
          <w:sz w:val="24"/>
          <w:szCs w:val="24"/>
        </w:rPr>
        <w:t xml:space="preserve">as </w:t>
      </w:r>
      <w:r w:rsidR="00A50A8A" w:rsidRPr="00283BD7">
        <w:rPr>
          <w:rFonts w:asciiTheme="minorHAnsi" w:hAnsiTheme="minorHAnsi" w:cstheme="minorHAnsi"/>
          <w:sz w:val="24"/>
          <w:szCs w:val="24"/>
        </w:rPr>
        <w:t xml:space="preserve">is </w:t>
      </w:r>
      <w:r w:rsidR="007F7F5E" w:rsidRPr="00283BD7">
        <w:rPr>
          <w:rFonts w:asciiTheme="minorHAnsi" w:hAnsiTheme="minorHAnsi" w:cstheme="minorHAnsi"/>
          <w:sz w:val="24"/>
          <w:szCs w:val="24"/>
        </w:rPr>
        <w:t>proposed</w:t>
      </w:r>
      <w:r w:rsidR="00A50A8A" w:rsidRPr="00283BD7">
        <w:rPr>
          <w:rFonts w:asciiTheme="minorHAnsi" w:hAnsiTheme="minorHAnsi" w:cstheme="minorHAnsi"/>
          <w:sz w:val="24"/>
          <w:szCs w:val="24"/>
        </w:rPr>
        <w:t xml:space="preserve"> in the Recommendation</w:t>
      </w:r>
      <w:r w:rsidR="00C07B2C">
        <w:rPr>
          <w:rFonts w:asciiTheme="minorHAnsi" w:hAnsiTheme="minorHAnsi" w:cstheme="minorHAnsi"/>
          <w:sz w:val="24"/>
          <w:szCs w:val="24"/>
        </w:rPr>
        <w:t>s</w:t>
      </w:r>
      <w:r w:rsidR="007F7F5E" w:rsidRPr="00283BD7">
        <w:rPr>
          <w:rFonts w:asciiTheme="minorHAnsi" w:hAnsiTheme="minorHAnsi" w:cstheme="minorHAnsi"/>
          <w:sz w:val="24"/>
          <w:szCs w:val="24"/>
        </w:rPr>
        <w:t>, but as a mechanism</w:t>
      </w:r>
      <w:r w:rsidR="00A50A8A" w:rsidRPr="00283BD7">
        <w:rPr>
          <w:rFonts w:asciiTheme="minorHAnsi" w:hAnsiTheme="minorHAnsi" w:cstheme="minorHAnsi"/>
          <w:sz w:val="24"/>
          <w:szCs w:val="24"/>
        </w:rPr>
        <w:t xml:space="preserve"> allowing users to complain when</w:t>
      </w:r>
      <w:r w:rsidR="00553FF8">
        <w:rPr>
          <w:rFonts w:asciiTheme="minorHAnsi" w:hAnsiTheme="minorHAnsi" w:cstheme="minorHAnsi"/>
          <w:sz w:val="24"/>
          <w:szCs w:val="24"/>
        </w:rPr>
        <w:t>,</w:t>
      </w:r>
      <w:r w:rsidR="00A50A8A" w:rsidRPr="00283BD7">
        <w:rPr>
          <w:rFonts w:asciiTheme="minorHAnsi" w:hAnsiTheme="minorHAnsi" w:cstheme="minorHAnsi"/>
          <w:sz w:val="24"/>
          <w:szCs w:val="24"/>
        </w:rPr>
        <w:t xml:space="preserve"> in their view, their uploads have been blocked without valid reason</w:t>
      </w:r>
      <w:r w:rsidR="00553FF8">
        <w:rPr>
          <w:rFonts w:asciiTheme="minorHAnsi" w:hAnsiTheme="minorHAnsi" w:cstheme="minorHAnsi"/>
          <w:sz w:val="24"/>
          <w:szCs w:val="24"/>
        </w:rPr>
        <w:t>s</w:t>
      </w:r>
      <w:r w:rsidR="00A50A8A" w:rsidRPr="00283BD7">
        <w:rPr>
          <w:rFonts w:asciiTheme="minorHAnsi" w:hAnsiTheme="minorHAnsi" w:cstheme="minorHAnsi"/>
          <w:sz w:val="24"/>
          <w:szCs w:val="24"/>
        </w:rPr>
        <w:t xml:space="preserve">. </w:t>
      </w:r>
    </w:p>
    <w:p w14:paraId="10D87447" w14:textId="77777777" w:rsidR="00A50A8A" w:rsidRPr="00283BD7" w:rsidRDefault="00A50A8A" w:rsidP="002D11D5">
      <w:pPr>
        <w:pStyle w:val="Szvegtrzs"/>
        <w:spacing w:before="1"/>
        <w:ind w:left="0"/>
        <w:jc w:val="both"/>
        <w:rPr>
          <w:rFonts w:asciiTheme="minorHAnsi" w:hAnsiTheme="minorHAnsi" w:cstheme="minorHAnsi"/>
          <w:sz w:val="24"/>
          <w:szCs w:val="24"/>
        </w:rPr>
      </w:pPr>
    </w:p>
    <w:p w14:paraId="5AF18B61" w14:textId="77777777" w:rsidR="00806998" w:rsidRPr="00283BD7" w:rsidRDefault="00A50A8A" w:rsidP="002D11D5">
      <w:pPr>
        <w:pStyle w:val="Szvegtrzs"/>
        <w:spacing w:before="1"/>
        <w:ind w:left="0"/>
        <w:jc w:val="both"/>
        <w:rPr>
          <w:rFonts w:asciiTheme="minorHAnsi" w:hAnsiTheme="minorHAnsi" w:cstheme="minorHAnsi"/>
          <w:sz w:val="24"/>
          <w:szCs w:val="24"/>
        </w:rPr>
      </w:pPr>
      <w:r w:rsidRPr="00283BD7">
        <w:rPr>
          <w:rFonts w:asciiTheme="minorHAnsi" w:hAnsiTheme="minorHAnsi" w:cstheme="minorHAnsi"/>
          <w:sz w:val="24"/>
          <w:szCs w:val="24"/>
        </w:rPr>
        <w:t>In addition to th</w:t>
      </w:r>
      <w:r w:rsidR="00E244C4" w:rsidRPr="00283BD7">
        <w:rPr>
          <w:rFonts w:asciiTheme="minorHAnsi" w:hAnsiTheme="minorHAnsi" w:cstheme="minorHAnsi"/>
          <w:sz w:val="24"/>
          <w:szCs w:val="24"/>
        </w:rPr>
        <w:t>e above-mentioned alternative complaint and redress mechanism proposed in the Recommendations (</w:t>
      </w:r>
      <w:r w:rsidR="00553FF8">
        <w:rPr>
          <w:rFonts w:asciiTheme="minorHAnsi" w:hAnsiTheme="minorHAnsi" w:cstheme="minorHAnsi"/>
          <w:sz w:val="24"/>
          <w:szCs w:val="24"/>
        </w:rPr>
        <w:t xml:space="preserve">in fact, </w:t>
      </w:r>
      <w:r w:rsidR="00E244C4" w:rsidRPr="00283BD7">
        <w:rPr>
          <w:rFonts w:asciiTheme="minorHAnsi" w:hAnsiTheme="minorHAnsi" w:cstheme="minorHAnsi"/>
          <w:sz w:val="24"/>
          <w:szCs w:val="24"/>
        </w:rPr>
        <w:t xml:space="preserve">an alternative to the mechanism provided in the Directive), there are two other issues that I discuss below.  </w:t>
      </w:r>
    </w:p>
    <w:p w14:paraId="7F7CDBEE" w14:textId="77777777" w:rsidR="00806998" w:rsidRPr="00283BD7" w:rsidRDefault="00806998" w:rsidP="002D11D5">
      <w:pPr>
        <w:pStyle w:val="Szvegtrzs"/>
        <w:spacing w:before="1"/>
        <w:ind w:left="0"/>
        <w:jc w:val="both"/>
        <w:rPr>
          <w:rFonts w:asciiTheme="minorHAnsi" w:hAnsiTheme="minorHAnsi" w:cstheme="minorHAnsi"/>
          <w:sz w:val="24"/>
          <w:szCs w:val="24"/>
        </w:rPr>
      </w:pPr>
    </w:p>
    <w:p w14:paraId="740E358A" w14:textId="16F75BBA" w:rsidR="00806998" w:rsidRPr="00AC1EC6" w:rsidRDefault="00E244C4" w:rsidP="002D11D5">
      <w:pPr>
        <w:pStyle w:val="Szvegtrzs"/>
        <w:spacing w:before="1"/>
        <w:ind w:left="0"/>
        <w:jc w:val="both"/>
        <w:rPr>
          <w:rFonts w:asciiTheme="minorHAnsi" w:hAnsiTheme="minorHAnsi" w:cstheme="minorHAnsi"/>
          <w:sz w:val="24"/>
          <w:szCs w:val="24"/>
        </w:rPr>
      </w:pPr>
      <w:r w:rsidRPr="00AC1EC6">
        <w:rPr>
          <w:rFonts w:asciiTheme="minorHAnsi" w:hAnsiTheme="minorHAnsi" w:cstheme="minorHAnsi"/>
          <w:sz w:val="24"/>
          <w:szCs w:val="24"/>
        </w:rPr>
        <w:t xml:space="preserve">The first one is </w:t>
      </w:r>
      <w:r w:rsidR="0097371E" w:rsidRPr="00AC1EC6">
        <w:rPr>
          <w:rFonts w:asciiTheme="minorHAnsi" w:hAnsiTheme="minorHAnsi" w:cstheme="minorHAnsi"/>
          <w:sz w:val="24"/>
          <w:szCs w:val="24"/>
        </w:rPr>
        <w:t xml:space="preserve">only </w:t>
      </w:r>
      <w:r w:rsidRPr="00AC1EC6">
        <w:rPr>
          <w:rFonts w:asciiTheme="minorHAnsi" w:hAnsiTheme="minorHAnsi" w:cstheme="minorHAnsi"/>
          <w:sz w:val="24"/>
          <w:szCs w:val="24"/>
        </w:rPr>
        <w:t>indirectly</w:t>
      </w:r>
      <w:r w:rsidR="0097371E" w:rsidRPr="00AC1EC6">
        <w:rPr>
          <w:rFonts w:asciiTheme="minorHAnsi" w:hAnsiTheme="minorHAnsi" w:cstheme="minorHAnsi"/>
          <w:sz w:val="24"/>
          <w:szCs w:val="24"/>
        </w:rPr>
        <w:t xml:space="preserve"> related to the regulation of the complaint and redress mechanism. It</w:t>
      </w:r>
      <w:r w:rsidRPr="00AC1EC6">
        <w:rPr>
          <w:rFonts w:asciiTheme="minorHAnsi" w:hAnsiTheme="minorHAnsi" w:cstheme="minorHAnsi"/>
          <w:sz w:val="24"/>
          <w:szCs w:val="24"/>
        </w:rPr>
        <w:t xml:space="preserve"> is the </w:t>
      </w:r>
      <w:r w:rsidR="0097371E" w:rsidRPr="00AC1EC6">
        <w:rPr>
          <w:rFonts w:asciiTheme="minorHAnsi" w:hAnsiTheme="minorHAnsi" w:cstheme="minorHAnsi"/>
          <w:sz w:val="24"/>
          <w:szCs w:val="24"/>
        </w:rPr>
        <w:t xml:space="preserve">question of how the </w:t>
      </w:r>
      <w:r w:rsidRPr="00AC1EC6">
        <w:rPr>
          <w:rFonts w:asciiTheme="minorHAnsi" w:hAnsiTheme="minorHAnsi" w:cstheme="minorHAnsi"/>
          <w:sz w:val="24"/>
          <w:szCs w:val="24"/>
        </w:rPr>
        <w:t>OCSSPs may</w:t>
      </w:r>
      <w:r w:rsidR="0097371E" w:rsidRPr="00AC1EC6">
        <w:rPr>
          <w:rFonts w:asciiTheme="minorHAnsi" w:hAnsiTheme="minorHAnsi" w:cstheme="minorHAnsi"/>
          <w:sz w:val="24"/>
          <w:szCs w:val="24"/>
        </w:rPr>
        <w:t xml:space="preserve"> obtain authorization in accordance with paragraph (1) of Article</w:t>
      </w:r>
      <w:r w:rsidR="00347626">
        <w:rPr>
          <w:rFonts w:asciiTheme="minorHAnsi" w:hAnsiTheme="minorHAnsi" w:cstheme="minorHAnsi"/>
          <w:sz w:val="24"/>
          <w:szCs w:val="24"/>
        </w:rPr>
        <w:t xml:space="preserve"> 17</w:t>
      </w:r>
      <w:r w:rsidR="00553FF8" w:rsidRPr="00AC1EC6">
        <w:rPr>
          <w:rFonts w:asciiTheme="minorHAnsi" w:hAnsiTheme="minorHAnsi" w:cstheme="minorHAnsi"/>
          <w:sz w:val="24"/>
          <w:szCs w:val="24"/>
        </w:rPr>
        <w:t>. The</w:t>
      </w:r>
      <w:r w:rsidR="0097371E" w:rsidRPr="00AC1EC6">
        <w:rPr>
          <w:rFonts w:asciiTheme="minorHAnsi" w:hAnsiTheme="minorHAnsi" w:cstheme="minorHAnsi"/>
          <w:sz w:val="24"/>
          <w:szCs w:val="24"/>
        </w:rPr>
        <w:t xml:space="preserve"> indirect relationship exists because the obligations of seeking authorization and blocking access to infringing materials are the key alternatives under the Article. </w:t>
      </w:r>
      <w:r w:rsidR="00806998" w:rsidRPr="00AC1EC6">
        <w:rPr>
          <w:rFonts w:asciiTheme="minorHAnsi" w:hAnsiTheme="minorHAnsi" w:cstheme="minorHAnsi"/>
          <w:sz w:val="24"/>
          <w:szCs w:val="24"/>
        </w:rPr>
        <w:t>In the Recommendations</w:t>
      </w:r>
      <w:r w:rsidR="00553FF8" w:rsidRPr="00AC1EC6">
        <w:rPr>
          <w:rFonts w:asciiTheme="minorHAnsi" w:hAnsiTheme="minorHAnsi" w:cstheme="minorHAnsi"/>
          <w:sz w:val="24"/>
          <w:szCs w:val="24"/>
        </w:rPr>
        <w:t>,</w:t>
      </w:r>
      <w:r w:rsidR="00806998" w:rsidRPr="00AC1EC6">
        <w:rPr>
          <w:rFonts w:asciiTheme="minorHAnsi" w:hAnsiTheme="minorHAnsi" w:cstheme="minorHAnsi"/>
          <w:sz w:val="24"/>
          <w:szCs w:val="24"/>
        </w:rPr>
        <w:t xml:space="preserve"> this issue is dealt with </w:t>
      </w:r>
      <w:r w:rsidR="00553FF8" w:rsidRPr="00AC1EC6">
        <w:rPr>
          <w:rFonts w:asciiTheme="minorHAnsi" w:hAnsiTheme="minorHAnsi" w:cstheme="minorHAnsi"/>
          <w:sz w:val="24"/>
          <w:szCs w:val="24"/>
        </w:rPr>
        <w:t xml:space="preserve">relatively </w:t>
      </w:r>
      <w:r w:rsidR="00AC1EC6" w:rsidRPr="00AC1EC6">
        <w:rPr>
          <w:rFonts w:asciiTheme="minorHAnsi" w:hAnsiTheme="minorHAnsi" w:cstheme="minorHAnsi"/>
          <w:sz w:val="24"/>
          <w:szCs w:val="24"/>
        </w:rPr>
        <w:t>first, therefore I also</w:t>
      </w:r>
      <w:r w:rsidR="00806998" w:rsidRPr="00AC1EC6">
        <w:rPr>
          <w:rFonts w:asciiTheme="minorHAnsi" w:hAnsiTheme="minorHAnsi" w:cstheme="minorHAnsi"/>
          <w:sz w:val="24"/>
          <w:szCs w:val="24"/>
        </w:rPr>
        <w:t xml:space="preserve"> discuss it first.</w:t>
      </w:r>
    </w:p>
    <w:p w14:paraId="6028E78A" w14:textId="77777777" w:rsidR="00806998" w:rsidRPr="00AC1EC6" w:rsidRDefault="00806998" w:rsidP="002D11D5">
      <w:pPr>
        <w:pStyle w:val="Szvegtrzs"/>
        <w:spacing w:before="1"/>
        <w:ind w:left="0"/>
        <w:jc w:val="both"/>
        <w:rPr>
          <w:rFonts w:asciiTheme="minorHAnsi" w:hAnsiTheme="minorHAnsi" w:cstheme="minorHAnsi"/>
          <w:sz w:val="24"/>
          <w:szCs w:val="24"/>
        </w:rPr>
      </w:pPr>
    </w:p>
    <w:p w14:paraId="1C479571" w14:textId="7FD1EA11" w:rsidR="00960A57" w:rsidRPr="00283BD7" w:rsidRDefault="00806998" w:rsidP="002D11D5">
      <w:pPr>
        <w:pStyle w:val="Szvegtrzs"/>
        <w:spacing w:before="1"/>
        <w:ind w:left="0"/>
        <w:jc w:val="both"/>
        <w:rPr>
          <w:rFonts w:asciiTheme="minorHAnsi" w:hAnsiTheme="minorHAnsi" w:cstheme="minorHAnsi"/>
          <w:sz w:val="24"/>
          <w:szCs w:val="24"/>
        </w:rPr>
      </w:pPr>
      <w:r w:rsidRPr="00283BD7">
        <w:rPr>
          <w:rFonts w:asciiTheme="minorHAnsi" w:hAnsiTheme="minorHAnsi" w:cstheme="minorHAnsi"/>
          <w:sz w:val="24"/>
          <w:szCs w:val="24"/>
        </w:rPr>
        <w:t xml:space="preserve">The other issue is much more significant; </w:t>
      </w:r>
      <w:r w:rsidR="00AC1EC6">
        <w:rPr>
          <w:rFonts w:asciiTheme="minorHAnsi" w:hAnsiTheme="minorHAnsi" w:cstheme="minorHAnsi"/>
          <w:sz w:val="24"/>
          <w:szCs w:val="24"/>
        </w:rPr>
        <w:t>in fact,</w:t>
      </w:r>
      <w:r w:rsidRPr="00283BD7">
        <w:rPr>
          <w:rFonts w:asciiTheme="minorHAnsi" w:hAnsiTheme="minorHAnsi" w:cstheme="minorHAnsi"/>
          <w:sz w:val="24"/>
          <w:szCs w:val="24"/>
        </w:rPr>
        <w:t xml:space="preserve"> its importance goes beyond the context of the Directive and might have relevance for the entire </w:t>
      </w:r>
      <w:r w:rsidR="00F15C6B" w:rsidRPr="00283BD7">
        <w:rPr>
          <w:rFonts w:asciiTheme="minorHAnsi" w:hAnsiTheme="minorHAnsi" w:cstheme="minorHAnsi"/>
          <w:sz w:val="24"/>
          <w:szCs w:val="24"/>
        </w:rPr>
        <w:t xml:space="preserve">European </w:t>
      </w:r>
      <w:r w:rsidRPr="00283BD7">
        <w:rPr>
          <w:rFonts w:asciiTheme="minorHAnsi" w:hAnsiTheme="minorHAnsi" w:cstheme="minorHAnsi"/>
          <w:sz w:val="24"/>
          <w:szCs w:val="24"/>
        </w:rPr>
        <w:t xml:space="preserve">copyright system. </w:t>
      </w:r>
      <w:r w:rsidR="00F15C6B" w:rsidRPr="00283BD7">
        <w:rPr>
          <w:rFonts w:asciiTheme="minorHAnsi" w:hAnsiTheme="minorHAnsi" w:cstheme="minorHAnsi"/>
          <w:sz w:val="24"/>
          <w:szCs w:val="24"/>
        </w:rPr>
        <w:t xml:space="preserve">This is what seems to be an attempt </w:t>
      </w:r>
      <w:r w:rsidR="00AC1EC6">
        <w:rPr>
          <w:rFonts w:asciiTheme="minorHAnsi" w:hAnsiTheme="minorHAnsi" w:cstheme="minorHAnsi"/>
          <w:sz w:val="24"/>
          <w:szCs w:val="24"/>
        </w:rPr>
        <w:t xml:space="preserve">in the Recommendations </w:t>
      </w:r>
      <w:r w:rsidR="00F15C6B" w:rsidRPr="00283BD7">
        <w:rPr>
          <w:rFonts w:asciiTheme="minorHAnsi" w:hAnsiTheme="minorHAnsi" w:cstheme="minorHAnsi"/>
          <w:sz w:val="24"/>
          <w:szCs w:val="24"/>
        </w:rPr>
        <w:t xml:space="preserve">to introduce </w:t>
      </w:r>
      <w:r w:rsidR="00AC1EC6">
        <w:rPr>
          <w:rFonts w:asciiTheme="minorHAnsi" w:hAnsiTheme="minorHAnsi" w:cstheme="minorHAnsi"/>
          <w:sz w:val="24"/>
          <w:szCs w:val="24"/>
        </w:rPr>
        <w:t>the</w:t>
      </w:r>
      <w:r w:rsidR="00F15C6B" w:rsidRPr="00283BD7">
        <w:rPr>
          <w:rFonts w:asciiTheme="minorHAnsi" w:hAnsiTheme="minorHAnsi" w:cstheme="minorHAnsi"/>
          <w:sz w:val="24"/>
          <w:szCs w:val="24"/>
        </w:rPr>
        <w:t xml:space="preserve"> theory of “users’ rights” for those cases where certain acts are </w:t>
      </w:r>
      <w:r w:rsidR="00F15C6B" w:rsidRPr="00283BD7">
        <w:rPr>
          <w:rFonts w:asciiTheme="minorHAnsi" w:hAnsiTheme="minorHAnsi" w:cstheme="minorHAnsi"/>
          <w:i/>
          <w:sz w:val="24"/>
          <w:szCs w:val="24"/>
        </w:rPr>
        <w:t>permitted</w:t>
      </w:r>
      <w:r w:rsidR="00006127" w:rsidRPr="00283BD7">
        <w:rPr>
          <w:rFonts w:asciiTheme="minorHAnsi" w:hAnsiTheme="minorHAnsi" w:cstheme="minorHAnsi"/>
          <w:sz w:val="24"/>
          <w:szCs w:val="24"/>
        </w:rPr>
        <w:t xml:space="preserve"> as exceptions to o</w:t>
      </w:r>
      <w:r w:rsidR="00C07B2C">
        <w:rPr>
          <w:rFonts w:asciiTheme="minorHAnsi" w:hAnsiTheme="minorHAnsi" w:cstheme="minorHAnsi"/>
          <w:sz w:val="24"/>
          <w:szCs w:val="24"/>
        </w:rPr>
        <w:t>r</w:t>
      </w:r>
      <w:r w:rsidR="00006127" w:rsidRPr="00283BD7">
        <w:rPr>
          <w:rFonts w:asciiTheme="minorHAnsi" w:hAnsiTheme="minorHAnsi" w:cstheme="minorHAnsi"/>
          <w:sz w:val="24"/>
          <w:szCs w:val="24"/>
        </w:rPr>
        <w:t xml:space="preserve"> limitations of copyright and related rights subject to the cumulative conditions of the three-step test. In the Recommendations</w:t>
      </w:r>
      <w:r w:rsidR="00AC1EC6">
        <w:rPr>
          <w:rFonts w:asciiTheme="minorHAnsi" w:hAnsiTheme="minorHAnsi" w:cstheme="minorHAnsi"/>
          <w:sz w:val="24"/>
          <w:szCs w:val="24"/>
        </w:rPr>
        <w:t>,</w:t>
      </w:r>
      <w:r w:rsidR="00006127" w:rsidRPr="00283BD7">
        <w:rPr>
          <w:rFonts w:asciiTheme="minorHAnsi" w:hAnsiTheme="minorHAnsi" w:cstheme="minorHAnsi"/>
          <w:sz w:val="24"/>
          <w:szCs w:val="24"/>
        </w:rPr>
        <w:t xml:space="preserve"> </w:t>
      </w:r>
      <w:r w:rsidR="00AC1EC6">
        <w:rPr>
          <w:rFonts w:asciiTheme="minorHAnsi" w:hAnsiTheme="minorHAnsi" w:cstheme="minorHAnsi"/>
          <w:sz w:val="24"/>
          <w:szCs w:val="24"/>
        </w:rPr>
        <w:t xml:space="preserve">a form of </w:t>
      </w:r>
      <w:r w:rsidR="00006127" w:rsidRPr="00283BD7">
        <w:rPr>
          <w:rFonts w:asciiTheme="minorHAnsi" w:hAnsiTheme="minorHAnsi" w:cstheme="minorHAnsi"/>
          <w:sz w:val="24"/>
          <w:szCs w:val="24"/>
        </w:rPr>
        <w:t>this theory appear</w:t>
      </w:r>
      <w:r w:rsidR="00AC1EC6">
        <w:rPr>
          <w:rFonts w:asciiTheme="minorHAnsi" w:hAnsiTheme="minorHAnsi" w:cstheme="minorHAnsi"/>
          <w:sz w:val="24"/>
          <w:szCs w:val="24"/>
        </w:rPr>
        <w:t>s</w:t>
      </w:r>
      <w:r w:rsidR="00006127" w:rsidRPr="00283BD7">
        <w:rPr>
          <w:rFonts w:asciiTheme="minorHAnsi" w:hAnsiTheme="minorHAnsi" w:cstheme="minorHAnsi"/>
          <w:sz w:val="24"/>
          <w:szCs w:val="24"/>
        </w:rPr>
        <w:t xml:space="preserve"> in the analysis of the second </w:t>
      </w:r>
      <w:r w:rsidR="00AC1EC6">
        <w:rPr>
          <w:rFonts w:asciiTheme="minorHAnsi" w:hAnsiTheme="minorHAnsi" w:cstheme="minorHAnsi"/>
          <w:sz w:val="24"/>
          <w:szCs w:val="24"/>
        </w:rPr>
        <w:t>sub</w:t>
      </w:r>
      <w:r w:rsidR="00006127" w:rsidRPr="00283BD7">
        <w:rPr>
          <w:rFonts w:asciiTheme="minorHAnsi" w:hAnsiTheme="minorHAnsi" w:cstheme="minorHAnsi"/>
          <w:sz w:val="24"/>
          <w:szCs w:val="24"/>
        </w:rPr>
        <w:t xml:space="preserve">paragraph of Article </w:t>
      </w:r>
      <w:r w:rsidR="002B0180">
        <w:rPr>
          <w:rFonts w:asciiTheme="minorHAnsi" w:hAnsiTheme="minorHAnsi" w:cstheme="minorHAnsi"/>
          <w:sz w:val="24"/>
          <w:szCs w:val="24"/>
        </w:rPr>
        <w:t>1</w:t>
      </w:r>
      <w:r w:rsidR="00006127" w:rsidRPr="00283BD7">
        <w:rPr>
          <w:rFonts w:asciiTheme="minorHAnsi" w:hAnsiTheme="minorHAnsi" w:cstheme="minorHAnsi"/>
          <w:sz w:val="24"/>
          <w:szCs w:val="24"/>
        </w:rPr>
        <w:t xml:space="preserve">7(7) of the </w:t>
      </w:r>
      <w:r w:rsidR="00120AD8" w:rsidRPr="00283BD7">
        <w:rPr>
          <w:rFonts w:asciiTheme="minorHAnsi" w:hAnsiTheme="minorHAnsi" w:cstheme="minorHAnsi"/>
          <w:sz w:val="24"/>
          <w:szCs w:val="24"/>
        </w:rPr>
        <w:t xml:space="preserve">DSM </w:t>
      </w:r>
      <w:r w:rsidR="00006127" w:rsidRPr="00283BD7">
        <w:rPr>
          <w:rFonts w:asciiTheme="minorHAnsi" w:hAnsiTheme="minorHAnsi" w:cstheme="minorHAnsi"/>
          <w:sz w:val="24"/>
          <w:szCs w:val="24"/>
        </w:rPr>
        <w:t>Directive</w:t>
      </w:r>
      <w:r w:rsidR="00AC1EC6">
        <w:rPr>
          <w:rFonts w:asciiTheme="minorHAnsi" w:hAnsiTheme="minorHAnsi" w:cstheme="minorHAnsi"/>
          <w:sz w:val="24"/>
          <w:szCs w:val="24"/>
        </w:rPr>
        <w:t>,</w:t>
      </w:r>
      <w:r w:rsidR="00006127" w:rsidRPr="00283BD7">
        <w:rPr>
          <w:rFonts w:asciiTheme="minorHAnsi" w:hAnsiTheme="minorHAnsi" w:cstheme="minorHAnsi"/>
          <w:sz w:val="24"/>
          <w:szCs w:val="24"/>
        </w:rPr>
        <w:t xml:space="preserve"> which obligates EU Member States to </w:t>
      </w:r>
      <w:r w:rsidR="00120AD8" w:rsidRPr="00283BD7">
        <w:rPr>
          <w:rFonts w:asciiTheme="minorHAnsi" w:hAnsiTheme="minorHAnsi" w:cstheme="minorHAnsi"/>
          <w:sz w:val="24"/>
          <w:szCs w:val="24"/>
        </w:rPr>
        <w:t xml:space="preserve">make certain exceptions provided in the Information Society Directive </w:t>
      </w:r>
      <w:r w:rsidR="00AC1EC6">
        <w:rPr>
          <w:rFonts w:asciiTheme="minorHAnsi" w:hAnsiTheme="minorHAnsi" w:cstheme="minorHAnsi"/>
          <w:sz w:val="24"/>
          <w:szCs w:val="24"/>
        </w:rPr>
        <w:t xml:space="preserve">(Directive 2001/29/EC) </w:t>
      </w:r>
      <w:r w:rsidR="00120AD8" w:rsidRPr="00283BD7">
        <w:rPr>
          <w:rFonts w:asciiTheme="minorHAnsi" w:hAnsiTheme="minorHAnsi" w:cstheme="minorHAnsi"/>
          <w:sz w:val="24"/>
          <w:szCs w:val="24"/>
        </w:rPr>
        <w:t xml:space="preserve">mandatory. According to the </w:t>
      </w:r>
      <w:r w:rsidR="00AC1EC6">
        <w:rPr>
          <w:rFonts w:asciiTheme="minorHAnsi" w:hAnsiTheme="minorHAnsi" w:cstheme="minorHAnsi"/>
          <w:sz w:val="24"/>
          <w:szCs w:val="24"/>
        </w:rPr>
        <w:t>Recommendations</w:t>
      </w:r>
      <w:r w:rsidR="00120AD8" w:rsidRPr="00283BD7">
        <w:rPr>
          <w:rFonts w:asciiTheme="minorHAnsi" w:hAnsiTheme="minorHAnsi" w:cstheme="minorHAnsi"/>
          <w:sz w:val="24"/>
          <w:szCs w:val="24"/>
        </w:rPr>
        <w:t xml:space="preserve">, for those exceptions and limitations, the DSM Directive has created a special </w:t>
      </w:r>
      <w:r w:rsidR="00AC1EC6">
        <w:rPr>
          <w:rFonts w:asciiTheme="minorHAnsi" w:hAnsiTheme="minorHAnsi" w:cstheme="minorHAnsi"/>
          <w:sz w:val="24"/>
          <w:szCs w:val="24"/>
        </w:rPr>
        <w:t xml:space="preserve">category </w:t>
      </w:r>
      <w:r w:rsidR="00D92BDC">
        <w:rPr>
          <w:rFonts w:asciiTheme="minorHAnsi" w:hAnsiTheme="minorHAnsi" w:cstheme="minorHAnsi"/>
          <w:sz w:val="24"/>
          <w:szCs w:val="24"/>
        </w:rPr>
        <w:t xml:space="preserve">of </w:t>
      </w:r>
      <w:r w:rsidR="00AC1EC6">
        <w:rPr>
          <w:rFonts w:asciiTheme="minorHAnsi" w:hAnsiTheme="minorHAnsi" w:cstheme="minorHAnsi"/>
          <w:sz w:val="24"/>
          <w:szCs w:val="24"/>
        </w:rPr>
        <w:t>“</w:t>
      </w:r>
      <w:r w:rsidR="00120AD8" w:rsidRPr="00283BD7">
        <w:rPr>
          <w:rFonts w:asciiTheme="minorHAnsi" w:hAnsiTheme="minorHAnsi" w:cstheme="minorHAnsi"/>
          <w:sz w:val="24"/>
          <w:szCs w:val="24"/>
        </w:rPr>
        <w:t>users’ rights</w:t>
      </w:r>
      <w:r w:rsidR="00AC1EC6">
        <w:rPr>
          <w:rFonts w:asciiTheme="minorHAnsi" w:hAnsiTheme="minorHAnsi" w:cstheme="minorHAnsi"/>
          <w:sz w:val="24"/>
          <w:szCs w:val="24"/>
        </w:rPr>
        <w:t>”</w:t>
      </w:r>
      <w:r w:rsidR="00120AD8" w:rsidRPr="00283BD7">
        <w:rPr>
          <w:rFonts w:asciiTheme="minorHAnsi" w:hAnsiTheme="minorHAnsi" w:cstheme="minorHAnsi"/>
          <w:sz w:val="24"/>
          <w:szCs w:val="24"/>
        </w:rPr>
        <w:t xml:space="preserve"> requiring broad interpretation. </w:t>
      </w:r>
      <w:r w:rsidR="00E96D1A">
        <w:rPr>
          <w:rFonts w:asciiTheme="minorHAnsi" w:hAnsiTheme="minorHAnsi" w:cstheme="minorHAnsi"/>
          <w:sz w:val="24"/>
          <w:szCs w:val="24"/>
        </w:rPr>
        <w:t>A</w:t>
      </w:r>
      <w:r w:rsidR="00E828EC" w:rsidRPr="00283BD7">
        <w:rPr>
          <w:rFonts w:asciiTheme="minorHAnsi" w:hAnsiTheme="minorHAnsi" w:cstheme="minorHAnsi"/>
          <w:sz w:val="24"/>
          <w:szCs w:val="24"/>
        </w:rPr>
        <w:t xml:space="preserve">lthough the authors of the Recommendations rightly state that </w:t>
      </w:r>
      <w:r w:rsidR="00120AD8" w:rsidRPr="00283BD7">
        <w:rPr>
          <w:rFonts w:asciiTheme="minorHAnsi" w:hAnsiTheme="minorHAnsi" w:cstheme="minorHAnsi"/>
          <w:sz w:val="24"/>
          <w:szCs w:val="24"/>
        </w:rPr>
        <w:t xml:space="preserve">those exceptions and limitations have </w:t>
      </w:r>
      <w:r w:rsidR="00E828EC" w:rsidRPr="00283BD7">
        <w:rPr>
          <w:rFonts w:asciiTheme="minorHAnsi" w:hAnsiTheme="minorHAnsi" w:cstheme="minorHAnsi"/>
          <w:sz w:val="24"/>
          <w:szCs w:val="24"/>
        </w:rPr>
        <w:t>b</w:t>
      </w:r>
      <w:r w:rsidR="00120AD8" w:rsidRPr="00283BD7">
        <w:rPr>
          <w:rFonts w:asciiTheme="minorHAnsi" w:hAnsiTheme="minorHAnsi" w:cstheme="minorHAnsi"/>
          <w:sz w:val="24"/>
          <w:szCs w:val="24"/>
        </w:rPr>
        <w:t xml:space="preserve">een made mandatory </w:t>
      </w:r>
      <w:r w:rsidR="00E828EC" w:rsidRPr="00283BD7">
        <w:rPr>
          <w:rFonts w:asciiTheme="minorHAnsi" w:hAnsiTheme="minorHAnsi" w:cstheme="minorHAnsi"/>
          <w:sz w:val="24"/>
          <w:szCs w:val="24"/>
        </w:rPr>
        <w:t>(</w:t>
      </w:r>
      <w:r w:rsidR="00120AD8" w:rsidRPr="00283BD7">
        <w:rPr>
          <w:rFonts w:asciiTheme="minorHAnsi" w:hAnsiTheme="minorHAnsi" w:cstheme="minorHAnsi"/>
          <w:sz w:val="24"/>
          <w:szCs w:val="24"/>
        </w:rPr>
        <w:t xml:space="preserve">which </w:t>
      </w:r>
      <w:r w:rsidR="00AC1EC6">
        <w:rPr>
          <w:rFonts w:asciiTheme="minorHAnsi" w:hAnsiTheme="minorHAnsi" w:cstheme="minorHAnsi"/>
          <w:sz w:val="24"/>
          <w:szCs w:val="24"/>
        </w:rPr>
        <w:t>was</w:t>
      </w:r>
      <w:r w:rsidR="00120AD8" w:rsidRPr="00283BD7">
        <w:rPr>
          <w:rFonts w:asciiTheme="minorHAnsi" w:hAnsiTheme="minorHAnsi" w:cstheme="minorHAnsi"/>
          <w:sz w:val="24"/>
          <w:szCs w:val="24"/>
        </w:rPr>
        <w:t xml:space="preserve"> found necessary by the EU legislators as part of the delicate balance established in Article </w:t>
      </w:r>
      <w:r w:rsidR="002B0180">
        <w:rPr>
          <w:rFonts w:asciiTheme="minorHAnsi" w:hAnsiTheme="minorHAnsi" w:cstheme="minorHAnsi"/>
          <w:sz w:val="24"/>
          <w:szCs w:val="24"/>
        </w:rPr>
        <w:t>1</w:t>
      </w:r>
      <w:r w:rsidR="00120AD8" w:rsidRPr="00283BD7">
        <w:rPr>
          <w:rFonts w:asciiTheme="minorHAnsi" w:hAnsiTheme="minorHAnsi" w:cstheme="minorHAnsi"/>
          <w:sz w:val="24"/>
          <w:szCs w:val="24"/>
        </w:rPr>
        <w:t>7</w:t>
      </w:r>
      <w:r w:rsidR="00E828EC" w:rsidRPr="00283BD7">
        <w:rPr>
          <w:rFonts w:asciiTheme="minorHAnsi" w:hAnsiTheme="minorHAnsi" w:cstheme="minorHAnsi"/>
          <w:sz w:val="24"/>
          <w:szCs w:val="24"/>
        </w:rPr>
        <w:t>)</w:t>
      </w:r>
      <w:r w:rsidR="00120AD8" w:rsidRPr="00283BD7">
        <w:rPr>
          <w:rFonts w:asciiTheme="minorHAnsi" w:hAnsiTheme="minorHAnsi" w:cstheme="minorHAnsi"/>
          <w:sz w:val="24"/>
          <w:szCs w:val="24"/>
        </w:rPr>
        <w:t xml:space="preserve">, there is no basis in the Directive, either in the </w:t>
      </w:r>
      <w:r w:rsidR="00E828EC" w:rsidRPr="00283BD7">
        <w:rPr>
          <w:rFonts w:asciiTheme="minorHAnsi" w:hAnsiTheme="minorHAnsi" w:cstheme="minorHAnsi"/>
          <w:sz w:val="24"/>
          <w:szCs w:val="24"/>
        </w:rPr>
        <w:t xml:space="preserve">provisions or in the recitals, to visualize a new type of permitted uses other than what exists for the exceptions and limitations concerned under Article 5 of the Information Directive and the relevant provisions of the international treaties. </w:t>
      </w:r>
      <w:r w:rsidR="00AC79D4" w:rsidRPr="00283BD7">
        <w:rPr>
          <w:rFonts w:asciiTheme="minorHAnsi" w:hAnsiTheme="minorHAnsi" w:cstheme="minorHAnsi"/>
          <w:sz w:val="24"/>
          <w:szCs w:val="24"/>
        </w:rPr>
        <w:t>Although</w:t>
      </w:r>
      <w:r w:rsidR="00926F5B">
        <w:rPr>
          <w:rFonts w:asciiTheme="minorHAnsi" w:hAnsiTheme="minorHAnsi" w:cstheme="minorHAnsi"/>
          <w:sz w:val="24"/>
          <w:szCs w:val="24"/>
        </w:rPr>
        <w:t>,</w:t>
      </w:r>
      <w:r w:rsidR="00AC79D4" w:rsidRPr="00283BD7">
        <w:rPr>
          <w:rFonts w:asciiTheme="minorHAnsi" w:hAnsiTheme="minorHAnsi" w:cstheme="minorHAnsi"/>
          <w:sz w:val="24"/>
          <w:szCs w:val="24"/>
        </w:rPr>
        <w:t xml:space="preserve"> </w:t>
      </w:r>
      <w:r w:rsidR="00C763D7" w:rsidRPr="00283BD7">
        <w:rPr>
          <w:rFonts w:asciiTheme="minorHAnsi" w:hAnsiTheme="minorHAnsi" w:cstheme="minorHAnsi"/>
          <w:sz w:val="24"/>
          <w:szCs w:val="24"/>
        </w:rPr>
        <w:t>in the Recommendations</w:t>
      </w:r>
      <w:r w:rsidR="00926F5B">
        <w:rPr>
          <w:rFonts w:asciiTheme="minorHAnsi" w:hAnsiTheme="minorHAnsi" w:cstheme="minorHAnsi"/>
          <w:sz w:val="24"/>
          <w:szCs w:val="24"/>
        </w:rPr>
        <w:t>,</w:t>
      </w:r>
      <w:r w:rsidR="00C763D7" w:rsidRPr="00283BD7">
        <w:rPr>
          <w:rFonts w:asciiTheme="minorHAnsi" w:hAnsiTheme="minorHAnsi" w:cstheme="minorHAnsi"/>
          <w:sz w:val="24"/>
          <w:szCs w:val="24"/>
        </w:rPr>
        <w:t xml:space="preserve"> this alleged </w:t>
      </w:r>
      <w:r w:rsidR="00AC79D4" w:rsidRPr="00283BD7">
        <w:rPr>
          <w:rFonts w:asciiTheme="minorHAnsi" w:hAnsiTheme="minorHAnsi" w:cstheme="minorHAnsi"/>
          <w:sz w:val="24"/>
          <w:szCs w:val="24"/>
        </w:rPr>
        <w:t xml:space="preserve">special “users’ rights” category of exceptions serves as a justification for replacing the complaint and redress mechanism provided in paragraph (9) with </w:t>
      </w:r>
      <w:r w:rsidR="00C763D7" w:rsidRPr="00283BD7">
        <w:rPr>
          <w:rFonts w:asciiTheme="minorHAnsi" w:hAnsiTheme="minorHAnsi" w:cstheme="minorHAnsi"/>
          <w:sz w:val="24"/>
          <w:szCs w:val="24"/>
        </w:rPr>
        <w:t xml:space="preserve">a </w:t>
      </w:r>
      <w:r w:rsidR="00AC79D4" w:rsidRPr="00283BD7">
        <w:rPr>
          <w:rFonts w:asciiTheme="minorHAnsi" w:hAnsiTheme="minorHAnsi" w:cstheme="minorHAnsi"/>
          <w:sz w:val="24"/>
          <w:szCs w:val="24"/>
        </w:rPr>
        <w:t>r</w:t>
      </w:r>
      <w:r w:rsidR="00E828EC" w:rsidRPr="00283BD7">
        <w:rPr>
          <w:rFonts w:asciiTheme="minorHAnsi" w:hAnsiTheme="minorHAnsi" w:cstheme="minorHAnsi"/>
          <w:sz w:val="24"/>
          <w:szCs w:val="24"/>
        </w:rPr>
        <w:t>everse complaint and redress mechanism</w:t>
      </w:r>
      <w:r w:rsidR="00AC79D4" w:rsidRPr="00283BD7">
        <w:rPr>
          <w:rFonts w:asciiTheme="minorHAnsi" w:hAnsiTheme="minorHAnsi" w:cstheme="minorHAnsi"/>
          <w:sz w:val="24"/>
          <w:szCs w:val="24"/>
        </w:rPr>
        <w:t xml:space="preserve">, </w:t>
      </w:r>
      <w:r w:rsidR="00C763D7" w:rsidRPr="00283BD7">
        <w:rPr>
          <w:rFonts w:asciiTheme="minorHAnsi" w:hAnsiTheme="minorHAnsi" w:cstheme="minorHAnsi"/>
          <w:sz w:val="24"/>
          <w:szCs w:val="24"/>
        </w:rPr>
        <w:t>due to the broader significance of the “users’ rights” theory, it is discussed separately</w:t>
      </w:r>
      <w:r w:rsidR="00E96D1A">
        <w:rPr>
          <w:rFonts w:asciiTheme="minorHAnsi" w:hAnsiTheme="minorHAnsi" w:cstheme="minorHAnsi"/>
          <w:sz w:val="24"/>
          <w:szCs w:val="24"/>
        </w:rPr>
        <w:t xml:space="preserve"> below</w:t>
      </w:r>
      <w:r w:rsidR="00C763D7" w:rsidRPr="00283BD7">
        <w:rPr>
          <w:rFonts w:asciiTheme="minorHAnsi" w:hAnsiTheme="minorHAnsi" w:cstheme="minorHAnsi"/>
          <w:sz w:val="24"/>
          <w:szCs w:val="24"/>
        </w:rPr>
        <w:t xml:space="preserve">.  </w:t>
      </w:r>
      <w:r w:rsidR="00E828EC" w:rsidRPr="00283BD7">
        <w:rPr>
          <w:rFonts w:asciiTheme="minorHAnsi" w:hAnsiTheme="minorHAnsi" w:cstheme="minorHAnsi"/>
          <w:sz w:val="24"/>
          <w:szCs w:val="24"/>
        </w:rPr>
        <w:t xml:space="preserve">   </w:t>
      </w:r>
    </w:p>
    <w:p w14:paraId="013CD0A5" w14:textId="77777777" w:rsidR="00960A57" w:rsidRPr="00283BD7" w:rsidRDefault="00960A57" w:rsidP="002D11D5">
      <w:pPr>
        <w:pStyle w:val="Szvegtrzs"/>
        <w:spacing w:before="1"/>
        <w:ind w:left="0"/>
        <w:jc w:val="both"/>
        <w:rPr>
          <w:rFonts w:asciiTheme="minorHAnsi" w:hAnsiTheme="minorHAnsi" w:cstheme="minorHAnsi"/>
          <w:sz w:val="24"/>
          <w:szCs w:val="24"/>
        </w:rPr>
      </w:pPr>
    </w:p>
    <w:p w14:paraId="151CED16" w14:textId="330D925A" w:rsidR="00C763D7" w:rsidRPr="00283BD7" w:rsidRDefault="00960A57" w:rsidP="002D11D5">
      <w:pPr>
        <w:pStyle w:val="Szvegtrzs"/>
        <w:spacing w:before="1"/>
        <w:ind w:left="0"/>
        <w:jc w:val="both"/>
        <w:rPr>
          <w:rFonts w:asciiTheme="minorHAnsi" w:hAnsiTheme="minorHAnsi" w:cstheme="minorHAnsi"/>
          <w:sz w:val="24"/>
          <w:szCs w:val="24"/>
        </w:rPr>
      </w:pPr>
      <w:r w:rsidRPr="00283BD7">
        <w:rPr>
          <w:rFonts w:asciiTheme="minorHAnsi" w:hAnsiTheme="minorHAnsi" w:cstheme="minorHAnsi"/>
          <w:sz w:val="24"/>
          <w:szCs w:val="24"/>
        </w:rPr>
        <w:t xml:space="preserve">It goes without saying that there are many other aspects of the complex provisions of Article 17 which need interpretation and require efforts for due implementation. This paper only covers the above-mentioned issues.   </w:t>
      </w:r>
      <w:r w:rsidR="00E828EC" w:rsidRPr="00283BD7">
        <w:rPr>
          <w:rFonts w:asciiTheme="minorHAnsi" w:hAnsiTheme="minorHAnsi" w:cstheme="minorHAnsi"/>
          <w:sz w:val="24"/>
          <w:szCs w:val="24"/>
        </w:rPr>
        <w:t xml:space="preserve">  </w:t>
      </w:r>
    </w:p>
    <w:p w14:paraId="11C01FBE" w14:textId="77777777" w:rsidR="00C763D7" w:rsidRDefault="00C763D7" w:rsidP="002D11D5">
      <w:pPr>
        <w:pStyle w:val="Szvegtrzs"/>
        <w:spacing w:before="1"/>
        <w:ind w:left="0"/>
        <w:jc w:val="both"/>
        <w:rPr>
          <w:rFonts w:asciiTheme="minorHAnsi" w:hAnsiTheme="minorHAnsi" w:cstheme="minorHAnsi"/>
          <w:sz w:val="24"/>
          <w:szCs w:val="24"/>
        </w:rPr>
      </w:pPr>
    </w:p>
    <w:p w14:paraId="113D8993" w14:textId="2AB44A0F" w:rsidR="00D2229F" w:rsidRDefault="00C763D7" w:rsidP="00C763D7">
      <w:pPr>
        <w:pStyle w:val="Szvegtrzs"/>
        <w:spacing w:before="1"/>
        <w:ind w:left="0"/>
        <w:jc w:val="center"/>
        <w:rPr>
          <w:rFonts w:asciiTheme="minorHAnsi" w:hAnsiTheme="minorHAnsi" w:cstheme="minorHAnsi"/>
          <w:b/>
          <w:sz w:val="24"/>
          <w:szCs w:val="24"/>
        </w:rPr>
      </w:pPr>
      <w:r w:rsidRPr="00283BD7">
        <w:rPr>
          <w:rFonts w:asciiTheme="minorHAnsi" w:hAnsiTheme="minorHAnsi" w:cstheme="minorHAnsi"/>
          <w:b/>
          <w:sz w:val="24"/>
          <w:szCs w:val="24"/>
        </w:rPr>
        <w:t>II</w:t>
      </w:r>
      <w:r w:rsidR="00385381">
        <w:rPr>
          <w:rFonts w:asciiTheme="minorHAnsi" w:hAnsiTheme="minorHAnsi" w:cstheme="minorHAnsi"/>
          <w:b/>
          <w:sz w:val="24"/>
          <w:szCs w:val="24"/>
        </w:rPr>
        <w:t>I</w:t>
      </w:r>
      <w:r w:rsidRPr="00283BD7">
        <w:rPr>
          <w:rFonts w:asciiTheme="minorHAnsi" w:hAnsiTheme="minorHAnsi" w:cstheme="minorHAnsi"/>
          <w:b/>
          <w:sz w:val="24"/>
          <w:szCs w:val="24"/>
        </w:rPr>
        <w:t xml:space="preserve">. </w:t>
      </w:r>
      <w:r w:rsidR="00D2229F">
        <w:rPr>
          <w:rFonts w:asciiTheme="minorHAnsi" w:hAnsiTheme="minorHAnsi" w:cstheme="minorHAnsi"/>
          <w:b/>
          <w:sz w:val="24"/>
          <w:szCs w:val="24"/>
        </w:rPr>
        <w:t>An a</w:t>
      </w:r>
      <w:r w:rsidRPr="00283BD7">
        <w:rPr>
          <w:rFonts w:asciiTheme="minorHAnsi" w:hAnsiTheme="minorHAnsi" w:cstheme="minorHAnsi"/>
          <w:b/>
          <w:sz w:val="24"/>
          <w:szCs w:val="24"/>
        </w:rPr>
        <w:t xml:space="preserve">uthorization </w:t>
      </w:r>
      <w:r w:rsidR="00B92C88">
        <w:rPr>
          <w:rFonts w:asciiTheme="minorHAnsi" w:hAnsiTheme="minorHAnsi" w:cstheme="minorHAnsi"/>
          <w:b/>
          <w:sz w:val="24"/>
          <w:szCs w:val="24"/>
        </w:rPr>
        <w:t xml:space="preserve">to be obtained </w:t>
      </w:r>
      <w:r w:rsidR="00B92C88" w:rsidRPr="00D2229F">
        <w:rPr>
          <w:rFonts w:asciiTheme="minorHAnsi" w:hAnsiTheme="minorHAnsi" w:cstheme="minorHAnsi"/>
          <w:b/>
          <w:i/>
          <w:sz w:val="24"/>
          <w:szCs w:val="24"/>
        </w:rPr>
        <w:t>from the rightholders</w:t>
      </w:r>
      <w:r w:rsidR="00B92C88">
        <w:rPr>
          <w:rFonts w:asciiTheme="minorHAnsi" w:hAnsiTheme="minorHAnsi" w:cstheme="minorHAnsi"/>
          <w:b/>
          <w:sz w:val="24"/>
          <w:szCs w:val="24"/>
        </w:rPr>
        <w:t xml:space="preserve"> </w:t>
      </w:r>
      <w:r w:rsidR="00D2229F">
        <w:rPr>
          <w:rFonts w:asciiTheme="minorHAnsi" w:hAnsiTheme="minorHAnsi" w:cstheme="minorHAnsi"/>
          <w:b/>
          <w:sz w:val="24"/>
          <w:szCs w:val="24"/>
        </w:rPr>
        <w:t xml:space="preserve">is an authorization </w:t>
      </w:r>
    </w:p>
    <w:p w14:paraId="4C03363D" w14:textId="710971EA" w:rsidR="00D2229F" w:rsidRDefault="00544DB9" w:rsidP="00C763D7">
      <w:pPr>
        <w:pStyle w:val="Szvegtrzs"/>
        <w:spacing w:before="1"/>
        <w:ind w:left="0"/>
        <w:jc w:val="center"/>
        <w:rPr>
          <w:rFonts w:asciiTheme="minorHAnsi" w:hAnsiTheme="minorHAnsi" w:cstheme="minorHAnsi"/>
          <w:b/>
          <w:sz w:val="24"/>
          <w:szCs w:val="24"/>
        </w:rPr>
      </w:pPr>
      <w:r>
        <w:rPr>
          <w:rFonts w:asciiTheme="minorHAnsi" w:hAnsiTheme="minorHAnsi" w:cstheme="minorHAnsi"/>
          <w:b/>
          <w:sz w:val="24"/>
          <w:szCs w:val="24"/>
        </w:rPr>
        <w:t xml:space="preserve">to be </w:t>
      </w:r>
      <w:r w:rsidR="00D2229F">
        <w:rPr>
          <w:rFonts w:asciiTheme="minorHAnsi" w:hAnsiTheme="minorHAnsi" w:cstheme="minorHAnsi"/>
          <w:b/>
          <w:sz w:val="24"/>
          <w:szCs w:val="24"/>
        </w:rPr>
        <w:t xml:space="preserve">granted </w:t>
      </w:r>
      <w:r w:rsidR="00C763D7" w:rsidRPr="00283BD7">
        <w:rPr>
          <w:rFonts w:asciiTheme="minorHAnsi" w:hAnsiTheme="minorHAnsi" w:cstheme="minorHAnsi"/>
          <w:b/>
          <w:sz w:val="24"/>
          <w:szCs w:val="24"/>
        </w:rPr>
        <w:t>by</w:t>
      </w:r>
      <w:r w:rsidR="00045AC6">
        <w:rPr>
          <w:rFonts w:asciiTheme="minorHAnsi" w:hAnsiTheme="minorHAnsi" w:cstheme="minorHAnsi"/>
          <w:b/>
          <w:sz w:val="24"/>
          <w:szCs w:val="24"/>
        </w:rPr>
        <w:t>,</w:t>
      </w:r>
      <w:r w:rsidR="00C763D7" w:rsidRPr="00283BD7">
        <w:rPr>
          <w:rFonts w:asciiTheme="minorHAnsi" w:hAnsiTheme="minorHAnsi" w:cstheme="minorHAnsi"/>
          <w:b/>
          <w:sz w:val="24"/>
          <w:szCs w:val="24"/>
        </w:rPr>
        <w:t xml:space="preserve"> or on behalf of</w:t>
      </w:r>
      <w:r w:rsidR="00045AC6">
        <w:rPr>
          <w:rFonts w:asciiTheme="minorHAnsi" w:hAnsiTheme="minorHAnsi" w:cstheme="minorHAnsi"/>
          <w:b/>
          <w:sz w:val="24"/>
          <w:szCs w:val="24"/>
        </w:rPr>
        <w:t>,</w:t>
      </w:r>
      <w:r w:rsidR="00C763D7" w:rsidRPr="00283BD7">
        <w:rPr>
          <w:rFonts w:asciiTheme="minorHAnsi" w:hAnsiTheme="minorHAnsi" w:cstheme="minorHAnsi"/>
          <w:b/>
          <w:sz w:val="24"/>
          <w:szCs w:val="24"/>
        </w:rPr>
        <w:t xml:space="preserve"> rightholders; </w:t>
      </w:r>
      <w:r w:rsidR="00D2229F">
        <w:rPr>
          <w:rFonts w:asciiTheme="minorHAnsi" w:hAnsiTheme="minorHAnsi" w:cstheme="minorHAnsi"/>
          <w:b/>
          <w:sz w:val="24"/>
          <w:szCs w:val="24"/>
        </w:rPr>
        <w:t xml:space="preserve">a </w:t>
      </w:r>
      <w:r w:rsidR="00E61CB5" w:rsidRPr="00283BD7">
        <w:rPr>
          <w:rFonts w:asciiTheme="minorHAnsi" w:hAnsiTheme="minorHAnsi" w:cstheme="minorHAnsi"/>
          <w:b/>
          <w:sz w:val="24"/>
          <w:szCs w:val="24"/>
        </w:rPr>
        <w:t xml:space="preserve">statutory </w:t>
      </w:r>
      <w:r w:rsidR="00C763D7" w:rsidRPr="00283BD7">
        <w:rPr>
          <w:rFonts w:asciiTheme="minorHAnsi" w:hAnsiTheme="minorHAnsi" w:cstheme="minorHAnsi"/>
          <w:b/>
          <w:sz w:val="24"/>
          <w:szCs w:val="24"/>
        </w:rPr>
        <w:t>licen</w:t>
      </w:r>
      <w:r w:rsidR="00045AC6">
        <w:rPr>
          <w:rFonts w:asciiTheme="minorHAnsi" w:hAnsiTheme="minorHAnsi" w:cstheme="minorHAnsi"/>
          <w:b/>
          <w:sz w:val="24"/>
          <w:szCs w:val="24"/>
        </w:rPr>
        <w:t>s</w:t>
      </w:r>
      <w:r w:rsidR="00D2229F">
        <w:rPr>
          <w:rFonts w:asciiTheme="minorHAnsi" w:hAnsiTheme="minorHAnsi" w:cstheme="minorHAnsi"/>
          <w:b/>
          <w:sz w:val="24"/>
          <w:szCs w:val="24"/>
        </w:rPr>
        <w:t>e</w:t>
      </w:r>
      <w:r w:rsidR="00C763D7" w:rsidRPr="00283BD7">
        <w:rPr>
          <w:rFonts w:asciiTheme="minorHAnsi" w:hAnsiTheme="minorHAnsi" w:cstheme="minorHAnsi"/>
          <w:b/>
          <w:sz w:val="24"/>
          <w:szCs w:val="24"/>
        </w:rPr>
        <w:t xml:space="preserve"> is </w:t>
      </w:r>
    </w:p>
    <w:p w14:paraId="7BA7B6A2" w14:textId="265B1F84" w:rsidR="00C763D7" w:rsidRPr="00544DB9" w:rsidRDefault="00C763D7" w:rsidP="00C763D7">
      <w:pPr>
        <w:pStyle w:val="Szvegtrzs"/>
        <w:spacing w:before="1"/>
        <w:ind w:left="0"/>
        <w:jc w:val="center"/>
        <w:rPr>
          <w:rFonts w:asciiTheme="minorHAnsi" w:hAnsiTheme="minorHAnsi" w:cstheme="minorHAnsi"/>
          <w:b/>
          <w:i/>
          <w:sz w:val="24"/>
          <w:szCs w:val="24"/>
        </w:rPr>
      </w:pPr>
      <w:r w:rsidRPr="00283BD7">
        <w:rPr>
          <w:rFonts w:asciiTheme="minorHAnsi" w:hAnsiTheme="minorHAnsi" w:cstheme="minorHAnsi"/>
          <w:b/>
          <w:sz w:val="24"/>
          <w:szCs w:val="24"/>
        </w:rPr>
        <w:t>not</w:t>
      </w:r>
      <w:r w:rsidR="00D2229F">
        <w:rPr>
          <w:rFonts w:asciiTheme="minorHAnsi" w:hAnsiTheme="minorHAnsi" w:cstheme="minorHAnsi"/>
          <w:b/>
          <w:sz w:val="24"/>
          <w:szCs w:val="24"/>
        </w:rPr>
        <w:t xml:space="preserve"> an</w:t>
      </w:r>
      <w:r w:rsidRPr="00283BD7">
        <w:rPr>
          <w:rFonts w:asciiTheme="minorHAnsi" w:hAnsiTheme="minorHAnsi" w:cstheme="minorHAnsi"/>
          <w:b/>
          <w:sz w:val="24"/>
          <w:szCs w:val="24"/>
        </w:rPr>
        <w:t xml:space="preserve"> authorization </w:t>
      </w:r>
      <w:r w:rsidR="00544DB9">
        <w:rPr>
          <w:rFonts w:asciiTheme="minorHAnsi" w:hAnsiTheme="minorHAnsi" w:cstheme="minorHAnsi"/>
          <w:b/>
          <w:sz w:val="24"/>
          <w:szCs w:val="24"/>
        </w:rPr>
        <w:t xml:space="preserve">to be </w:t>
      </w:r>
      <w:r w:rsidR="00D2229F">
        <w:rPr>
          <w:rFonts w:asciiTheme="minorHAnsi" w:hAnsiTheme="minorHAnsi" w:cstheme="minorHAnsi"/>
          <w:b/>
          <w:sz w:val="24"/>
          <w:szCs w:val="24"/>
        </w:rPr>
        <w:t xml:space="preserve">obtained </w:t>
      </w:r>
      <w:r w:rsidR="00D2229F" w:rsidRPr="00544DB9">
        <w:rPr>
          <w:rFonts w:asciiTheme="minorHAnsi" w:hAnsiTheme="minorHAnsi" w:cstheme="minorHAnsi"/>
          <w:b/>
          <w:i/>
          <w:sz w:val="24"/>
          <w:szCs w:val="24"/>
        </w:rPr>
        <w:t xml:space="preserve">from the </w:t>
      </w:r>
      <w:r w:rsidRPr="00544DB9">
        <w:rPr>
          <w:rFonts w:asciiTheme="minorHAnsi" w:hAnsiTheme="minorHAnsi" w:cstheme="minorHAnsi"/>
          <w:b/>
          <w:i/>
          <w:sz w:val="24"/>
          <w:szCs w:val="24"/>
        </w:rPr>
        <w:t>rightholders</w:t>
      </w:r>
    </w:p>
    <w:p w14:paraId="7ABBC9E7" w14:textId="77777777" w:rsidR="00D2229F" w:rsidRPr="00544DB9" w:rsidRDefault="00D2229F" w:rsidP="00C763D7">
      <w:pPr>
        <w:pStyle w:val="Szvegtrzs"/>
        <w:spacing w:before="1"/>
        <w:ind w:left="0"/>
        <w:jc w:val="center"/>
        <w:rPr>
          <w:rFonts w:asciiTheme="minorHAnsi" w:hAnsiTheme="minorHAnsi" w:cstheme="minorHAnsi"/>
          <w:b/>
          <w:i/>
          <w:sz w:val="24"/>
          <w:szCs w:val="24"/>
        </w:rPr>
      </w:pPr>
    </w:p>
    <w:p w14:paraId="6C1657D4" w14:textId="01DCAC13" w:rsidR="00960A57" w:rsidRPr="00283BD7" w:rsidRDefault="00C763D7" w:rsidP="00C763D7">
      <w:pPr>
        <w:pStyle w:val="Szvegtrzs"/>
        <w:spacing w:before="1"/>
        <w:ind w:left="0"/>
        <w:jc w:val="both"/>
        <w:rPr>
          <w:rFonts w:asciiTheme="minorHAnsi" w:hAnsiTheme="minorHAnsi" w:cstheme="minorHAnsi"/>
          <w:sz w:val="24"/>
          <w:szCs w:val="24"/>
        </w:rPr>
      </w:pPr>
      <w:r w:rsidRPr="00283BD7">
        <w:rPr>
          <w:rFonts w:asciiTheme="minorHAnsi" w:hAnsiTheme="minorHAnsi" w:cstheme="minorHAnsi"/>
          <w:sz w:val="24"/>
          <w:szCs w:val="24"/>
        </w:rPr>
        <w:t>The basic pillar of the regulation in Article 17</w:t>
      </w:r>
      <w:r w:rsidR="00E34B44">
        <w:rPr>
          <w:rFonts w:asciiTheme="minorHAnsi" w:hAnsiTheme="minorHAnsi" w:cstheme="minorHAnsi"/>
          <w:sz w:val="24"/>
          <w:szCs w:val="24"/>
        </w:rPr>
        <w:t>(1)</w:t>
      </w:r>
      <w:r w:rsidRPr="00283BD7">
        <w:rPr>
          <w:rFonts w:asciiTheme="minorHAnsi" w:hAnsiTheme="minorHAnsi" w:cstheme="minorHAnsi"/>
          <w:sz w:val="24"/>
          <w:szCs w:val="24"/>
        </w:rPr>
        <w:t xml:space="preserve"> is the recognition that OCSSPs </w:t>
      </w:r>
      <w:r w:rsidR="0077390D" w:rsidRPr="00283BD7">
        <w:rPr>
          <w:rFonts w:asciiTheme="minorHAnsi" w:hAnsiTheme="minorHAnsi" w:cstheme="minorHAnsi"/>
          <w:sz w:val="24"/>
          <w:szCs w:val="24"/>
        </w:rPr>
        <w:t>engage in “copyright-relevant acts” for which they “need to obtain authorization</w:t>
      </w:r>
      <w:r w:rsidR="00C44D92">
        <w:rPr>
          <w:rFonts w:asciiTheme="minorHAnsi" w:hAnsiTheme="minorHAnsi" w:cstheme="minorHAnsi"/>
          <w:sz w:val="24"/>
          <w:szCs w:val="24"/>
        </w:rPr>
        <w:t xml:space="preserve"> from the right</w:t>
      </w:r>
      <w:r w:rsidR="00B92C88">
        <w:rPr>
          <w:rFonts w:asciiTheme="minorHAnsi" w:hAnsiTheme="minorHAnsi" w:cstheme="minorHAnsi"/>
          <w:sz w:val="24"/>
          <w:szCs w:val="24"/>
        </w:rPr>
        <w:t>holders</w:t>
      </w:r>
      <w:r w:rsidR="0077390D" w:rsidRPr="00283BD7">
        <w:rPr>
          <w:rFonts w:asciiTheme="minorHAnsi" w:hAnsiTheme="minorHAnsi" w:cstheme="minorHAnsi"/>
          <w:sz w:val="24"/>
          <w:szCs w:val="24"/>
        </w:rPr>
        <w:t xml:space="preserve">”, </w:t>
      </w:r>
      <w:r w:rsidR="00E34B44">
        <w:rPr>
          <w:rFonts w:asciiTheme="minorHAnsi" w:hAnsiTheme="minorHAnsi" w:cstheme="minorHAnsi"/>
          <w:sz w:val="24"/>
          <w:szCs w:val="24"/>
        </w:rPr>
        <w:t xml:space="preserve">acts </w:t>
      </w:r>
      <w:r w:rsidR="0077390D" w:rsidRPr="00283BD7">
        <w:rPr>
          <w:rFonts w:asciiTheme="minorHAnsi" w:hAnsiTheme="minorHAnsi" w:cstheme="minorHAnsi"/>
          <w:sz w:val="24"/>
          <w:szCs w:val="24"/>
        </w:rPr>
        <w:t>which are basically acts of interactive making available to the public of works and objects of related rights (in the case of works</w:t>
      </w:r>
      <w:r w:rsidR="00960A57" w:rsidRPr="00283BD7">
        <w:rPr>
          <w:rFonts w:asciiTheme="minorHAnsi" w:hAnsiTheme="minorHAnsi" w:cstheme="minorHAnsi"/>
          <w:sz w:val="24"/>
          <w:szCs w:val="24"/>
        </w:rPr>
        <w:t>,</w:t>
      </w:r>
      <w:r w:rsidR="0077390D" w:rsidRPr="00283BD7">
        <w:rPr>
          <w:rFonts w:asciiTheme="minorHAnsi" w:hAnsiTheme="minorHAnsi" w:cstheme="minorHAnsi"/>
          <w:sz w:val="24"/>
          <w:szCs w:val="24"/>
        </w:rPr>
        <w:t xml:space="preserve"> as a special form of “communication to the public” also covering interactive making available </w:t>
      </w:r>
      <w:r w:rsidR="00385381">
        <w:rPr>
          <w:rFonts w:asciiTheme="minorHAnsi" w:hAnsiTheme="minorHAnsi" w:cstheme="minorHAnsi"/>
          <w:sz w:val="24"/>
          <w:szCs w:val="24"/>
        </w:rPr>
        <w:t xml:space="preserve">of </w:t>
      </w:r>
      <w:r w:rsidR="00960A57" w:rsidRPr="00283BD7">
        <w:rPr>
          <w:rFonts w:asciiTheme="minorHAnsi" w:hAnsiTheme="minorHAnsi" w:cstheme="minorHAnsi"/>
          <w:sz w:val="24"/>
          <w:szCs w:val="24"/>
        </w:rPr>
        <w:t xml:space="preserve">intangible </w:t>
      </w:r>
      <w:r w:rsidR="0077390D" w:rsidRPr="00283BD7">
        <w:rPr>
          <w:rFonts w:asciiTheme="minorHAnsi" w:hAnsiTheme="minorHAnsi" w:cstheme="minorHAnsi"/>
          <w:sz w:val="24"/>
          <w:szCs w:val="24"/>
        </w:rPr>
        <w:t>copies</w:t>
      </w:r>
      <w:r w:rsidR="00960A57" w:rsidRPr="00283BD7">
        <w:rPr>
          <w:rFonts w:asciiTheme="minorHAnsi" w:hAnsiTheme="minorHAnsi" w:cstheme="minorHAnsi"/>
          <w:sz w:val="24"/>
          <w:szCs w:val="24"/>
        </w:rPr>
        <w:t>).</w:t>
      </w:r>
      <w:r w:rsidR="0077390D" w:rsidRPr="00283BD7">
        <w:rPr>
          <w:rFonts w:asciiTheme="minorHAnsi" w:hAnsiTheme="minorHAnsi" w:cstheme="minorHAnsi"/>
          <w:sz w:val="24"/>
          <w:szCs w:val="24"/>
        </w:rPr>
        <w:t xml:space="preserve">   </w:t>
      </w:r>
    </w:p>
    <w:p w14:paraId="303442B3" w14:textId="77777777" w:rsidR="00960A57" w:rsidRPr="00283BD7" w:rsidRDefault="00960A57" w:rsidP="00C763D7">
      <w:pPr>
        <w:pStyle w:val="Szvegtrzs"/>
        <w:spacing w:before="1"/>
        <w:ind w:left="0"/>
        <w:jc w:val="both"/>
        <w:rPr>
          <w:rFonts w:asciiTheme="minorHAnsi" w:hAnsiTheme="minorHAnsi" w:cstheme="minorHAnsi"/>
          <w:sz w:val="24"/>
          <w:szCs w:val="24"/>
        </w:rPr>
      </w:pPr>
    </w:p>
    <w:p w14:paraId="5FEF890B" w14:textId="77777777" w:rsidR="00C763D7" w:rsidRPr="00283BD7" w:rsidRDefault="002B2360" w:rsidP="00C763D7">
      <w:pPr>
        <w:pStyle w:val="Szvegtrzs"/>
        <w:spacing w:before="1"/>
        <w:ind w:left="0"/>
        <w:jc w:val="both"/>
        <w:rPr>
          <w:rFonts w:asciiTheme="minorHAnsi" w:hAnsiTheme="minorHAnsi" w:cstheme="minorHAnsi"/>
          <w:sz w:val="24"/>
          <w:szCs w:val="24"/>
        </w:rPr>
      </w:pPr>
      <w:r w:rsidRPr="00283BD7">
        <w:rPr>
          <w:rFonts w:asciiTheme="minorHAnsi" w:hAnsiTheme="minorHAnsi" w:cstheme="minorHAnsi"/>
          <w:sz w:val="24"/>
          <w:szCs w:val="24"/>
        </w:rPr>
        <w:t>P</w:t>
      </w:r>
      <w:r w:rsidR="00960A57" w:rsidRPr="00283BD7">
        <w:rPr>
          <w:rFonts w:asciiTheme="minorHAnsi" w:hAnsiTheme="minorHAnsi" w:cstheme="minorHAnsi"/>
          <w:sz w:val="24"/>
          <w:szCs w:val="24"/>
        </w:rPr>
        <w:t>aragraph</w:t>
      </w:r>
      <w:r w:rsidR="0003273D" w:rsidRPr="00283BD7">
        <w:rPr>
          <w:rFonts w:asciiTheme="minorHAnsi" w:hAnsiTheme="minorHAnsi" w:cstheme="minorHAnsi"/>
          <w:sz w:val="24"/>
          <w:szCs w:val="24"/>
        </w:rPr>
        <w:t>s</w:t>
      </w:r>
      <w:r w:rsidR="00960A57" w:rsidRPr="00283BD7">
        <w:rPr>
          <w:rFonts w:asciiTheme="minorHAnsi" w:hAnsiTheme="minorHAnsi" w:cstheme="minorHAnsi"/>
          <w:sz w:val="24"/>
          <w:szCs w:val="24"/>
        </w:rPr>
        <w:t xml:space="preserve"> (1) </w:t>
      </w:r>
      <w:r w:rsidR="0003273D" w:rsidRPr="00283BD7">
        <w:rPr>
          <w:rFonts w:asciiTheme="minorHAnsi" w:hAnsiTheme="minorHAnsi" w:cstheme="minorHAnsi"/>
          <w:sz w:val="24"/>
          <w:szCs w:val="24"/>
        </w:rPr>
        <w:t xml:space="preserve">and (2) </w:t>
      </w:r>
      <w:r w:rsidR="00960A57" w:rsidRPr="00283BD7">
        <w:rPr>
          <w:rFonts w:asciiTheme="minorHAnsi" w:hAnsiTheme="minorHAnsi" w:cstheme="minorHAnsi"/>
          <w:sz w:val="24"/>
          <w:szCs w:val="24"/>
        </w:rPr>
        <w:t xml:space="preserve">of the Article </w:t>
      </w:r>
      <w:r w:rsidRPr="00283BD7">
        <w:rPr>
          <w:rFonts w:asciiTheme="minorHAnsi" w:hAnsiTheme="minorHAnsi" w:cstheme="minorHAnsi"/>
          <w:sz w:val="24"/>
          <w:szCs w:val="24"/>
        </w:rPr>
        <w:t>provide as follows:</w:t>
      </w:r>
      <w:r w:rsidR="00960A57" w:rsidRPr="00283BD7">
        <w:rPr>
          <w:rFonts w:asciiTheme="minorHAnsi" w:hAnsiTheme="minorHAnsi" w:cstheme="minorHAnsi"/>
          <w:sz w:val="24"/>
          <w:szCs w:val="24"/>
        </w:rPr>
        <w:t xml:space="preserve"> </w:t>
      </w:r>
      <w:r w:rsidR="00C763D7" w:rsidRPr="00283BD7">
        <w:rPr>
          <w:rFonts w:asciiTheme="minorHAnsi" w:hAnsiTheme="minorHAnsi" w:cstheme="minorHAnsi"/>
          <w:sz w:val="24"/>
          <w:szCs w:val="24"/>
        </w:rPr>
        <w:t xml:space="preserve">  </w:t>
      </w:r>
    </w:p>
    <w:p w14:paraId="036957CC" w14:textId="77777777" w:rsidR="0003273D" w:rsidRPr="00283BD7" w:rsidRDefault="0003273D" w:rsidP="0003273D">
      <w:pPr>
        <w:pStyle w:val="Szvegtrzs"/>
        <w:ind w:left="567"/>
        <w:jc w:val="both"/>
        <w:rPr>
          <w:rFonts w:asciiTheme="minorHAnsi" w:hAnsiTheme="minorHAnsi" w:cstheme="minorHAnsi"/>
          <w:sz w:val="24"/>
          <w:szCs w:val="24"/>
        </w:rPr>
      </w:pPr>
    </w:p>
    <w:p w14:paraId="7B59D6B1" w14:textId="77777777" w:rsidR="0003273D" w:rsidRPr="00B92C88" w:rsidRDefault="0003273D" w:rsidP="00544DB9">
      <w:pPr>
        <w:pStyle w:val="Alcm"/>
        <w:ind w:left="567"/>
        <w:jc w:val="both"/>
        <w:rPr>
          <w:rFonts w:asciiTheme="minorHAnsi" w:hAnsiTheme="minorHAnsi" w:cstheme="minorHAnsi"/>
        </w:rPr>
      </w:pPr>
      <w:r w:rsidRPr="00B92C88">
        <w:rPr>
          <w:rFonts w:asciiTheme="minorHAnsi" w:hAnsiTheme="minorHAnsi" w:cstheme="minorHAnsi"/>
        </w:rPr>
        <w:t>1. Member States shall provide that an online content-sharing service provider performs an act of communication to the public or an act of making available to the public for the purposes of this Directive when it gives the public access</w:t>
      </w:r>
      <w:r w:rsidRPr="00544DB9">
        <w:rPr>
          <w:rFonts w:asciiTheme="minorHAnsi" w:hAnsiTheme="minorHAnsi" w:cstheme="minorHAnsi"/>
        </w:rPr>
        <w:t xml:space="preserve"> to copyright-protected</w:t>
      </w:r>
      <w:r w:rsidRPr="00B92C88">
        <w:rPr>
          <w:rFonts w:asciiTheme="minorHAnsi" w:hAnsiTheme="minorHAnsi" w:cstheme="minorHAnsi"/>
          <w:w w:val="105"/>
        </w:rPr>
        <w:t xml:space="preserve"> works or other protected subject matter</w:t>
      </w:r>
      <w:r w:rsidRPr="00B92C88">
        <w:rPr>
          <w:rFonts w:asciiTheme="minorHAnsi" w:hAnsiTheme="minorHAnsi" w:cstheme="minorHAnsi"/>
          <w:spacing w:val="17"/>
          <w:w w:val="105"/>
        </w:rPr>
        <w:t xml:space="preserve"> </w:t>
      </w:r>
      <w:r w:rsidRPr="00B92C88">
        <w:rPr>
          <w:rFonts w:asciiTheme="minorHAnsi" w:hAnsiTheme="minorHAnsi" w:cstheme="minorHAnsi"/>
          <w:w w:val="105"/>
        </w:rPr>
        <w:t>uploaded by its users.</w:t>
      </w:r>
    </w:p>
    <w:p w14:paraId="2BD0073B" w14:textId="77777777" w:rsidR="0003273D" w:rsidRPr="00283BD7" w:rsidRDefault="0003273D" w:rsidP="00544DB9">
      <w:pPr>
        <w:pStyle w:val="Alcm"/>
        <w:ind w:left="567"/>
        <w:jc w:val="both"/>
      </w:pPr>
      <w:r w:rsidRPr="00544DB9">
        <w:rPr>
          <w:rStyle w:val="AlcmChar"/>
          <w:rFonts w:asciiTheme="minorHAnsi" w:hAnsiTheme="minorHAnsi" w:cstheme="minorHAnsi"/>
        </w:rPr>
        <w:t xml:space="preserve">An online content-sharing service provider </w:t>
      </w:r>
      <w:r w:rsidRPr="00544DB9">
        <w:rPr>
          <w:rStyle w:val="AlcmChar"/>
          <w:rFonts w:asciiTheme="minorHAnsi" w:hAnsiTheme="minorHAnsi" w:cstheme="minorHAnsi"/>
          <w:i/>
        </w:rPr>
        <w:t>shall</w:t>
      </w:r>
      <w:r w:rsidRPr="00544DB9">
        <w:rPr>
          <w:rStyle w:val="AlcmChar"/>
          <w:rFonts w:asciiTheme="minorHAnsi" w:hAnsiTheme="minorHAnsi" w:cstheme="minorHAnsi"/>
        </w:rPr>
        <w:t xml:space="preserve"> therefore </w:t>
      </w:r>
      <w:r w:rsidRPr="00544DB9">
        <w:rPr>
          <w:rStyle w:val="AlcmChar"/>
          <w:rFonts w:asciiTheme="minorHAnsi" w:hAnsiTheme="minorHAnsi" w:cstheme="minorHAnsi"/>
          <w:i/>
        </w:rPr>
        <w:t xml:space="preserve">obtain an authorisation </w:t>
      </w:r>
      <w:r w:rsidRPr="00544DB9">
        <w:rPr>
          <w:rStyle w:val="AlcmChar"/>
          <w:rFonts w:asciiTheme="minorHAnsi" w:hAnsiTheme="minorHAnsi" w:cstheme="minorHAnsi"/>
          <w:i/>
          <w:u w:val="single"/>
        </w:rPr>
        <w:t>from the rightholders</w:t>
      </w:r>
      <w:r w:rsidRPr="00544DB9">
        <w:rPr>
          <w:rStyle w:val="AlcmChar"/>
          <w:rFonts w:asciiTheme="minorHAnsi" w:hAnsiTheme="minorHAnsi" w:cstheme="minorHAnsi"/>
          <w:i/>
        </w:rPr>
        <w:t xml:space="preserve"> </w:t>
      </w:r>
      <w:r w:rsidRPr="00544DB9">
        <w:rPr>
          <w:rStyle w:val="AlcmChar"/>
          <w:rFonts w:asciiTheme="minorHAnsi" w:hAnsiTheme="minorHAnsi" w:cstheme="minorHAnsi"/>
        </w:rPr>
        <w:t>referred to in Article 3(1) and (2) of Directive 2001/29/EC, for instance by concluding a licensing agreement, in order to communicate to the public or make available to the public works</w:t>
      </w:r>
      <w:r w:rsidRPr="00283BD7">
        <w:rPr>
          <w:w w:val="105"/>
        </w:rPr>
        <w:t xml:space="preserve"> or other subject matter.</w:t>
      </w:r>
    </w:p>
    <w:p w14:paraId="5D6ECA3B" w14:textId="77777777" w:rsidR="0003273D" w:rsidRPr="00544DB9" w:rsidRDefault="0003273D" w:rsidP="00544DB9">
      <w:pPr>
        <w:pStyle w:val="Alcm"/>
        <w:ind w:left="567"/>
        <w:jc w:val="both"/>
        <w:rPr>
          <w:rFonts w:asciiTheme="minorHAnsi" w:hAnsiTheme="minorHAnsi" w:cstheme="minorHAnsi"/>
          <w:w w:val="105"/>
        </w:rPr>
      </w:pPr>
      <w:r w:rsidRPr="00544DB9">
        <w:rPr>
          <w:rStyle w:val="AlcmChar"/>
          <w:rFonts w:asciiTheme="minorHAnsi" w:hAnsiTheme="minorHAnsi" w:cstheme="minorHAnsi"/>
        </w:rPr>
        <w:t>2. Member States shall provide that, where an online content-sharing service provider obtains an authorisation, for instance by concluding a licensing agreement, that authorisation shall also cover acts carried out by users of the services falling within the scope of Article 3</w:t>
      </w:r>
      <w:r w:rsidRPr="00544DB9">
        <w:rPr>
          <w:rFonts w:asciiTheme="minorHAnsi" w:hAnsiTheme="minorHAnsi" w:cstheme="minorHAnsi"/>
          <w:w w:val="105"/>
        </w:rPr>
        <w:t xml:space="preserve"> of Directive 2001/29/EC when they are not acting on a commercial basis or where their activity does not generate significant</w:t>
      </w:r>
      <w:r w:rsidRPr="00544DB9">
        <w:rPr>
          <w:rFonts w:asciiTheme="minorHAnsi" w:hAnsiTheme="minorHAnsi" w:cstheme="minorHAnsi"/>
          <w:spacing w:val="27"/>
          <w:w w:val="105"/>
        </w:rPr>
        <w:t xml:space="preserve"> </w:t>
      </w:r>
      <w:r w:rsidRPr="00544DB9">
        <w:rPr>
          <w:rFonts w:asciiTheme="minorHAnsi" w:hAnsiTheme="minorHAnsi" w:cstheme="minorHAnsi"/>
          <w:w w:val="105"/>
        </w:rPr>
        <w:t>revenues (Emphasis added.)</w:t>
      </w:r>
    </w:p>
    <w:p w14:paraId="7E5128A0" w14:textId="77777777" w:rsidR="0003273D" w:rsidRPr="00544DB9" w:rsidRDefault="0003273D" w:rsidP="00544DB9">
      <w:pPr>
        <w:pStyle w:val="Alcm"/>
        <w:jc w:val="both"/>
        <w:rPr>
          <w:rFonts w:asciiTheme="minorHAnsi" w:hAnsiTheme="minorHAnsi" w:cstheme="minorHAnsi"/>
          <w:w w:val="105"/>
        </w:rPr>
      </w:pPr>
    </w:p>
    <w:p w14:paraId="0A90713F" w14:textId="7E736392" w:rsidR="00B367CE" w:rsidRPr="00544DB9" w:rsidRDefault="0003273D" w:rsidP="0003273D">
      <w:pPr>
        <w:tabs>
          <w:tab w:val="left" w:pos="284"/>
        </w:tabs>
        <w:autoSpaceDE w:val="0"/>
        <w:autoSpaceDN w:val="0"/>
        <w:jc w:val="both"/>
        <w:rPr>
          <w:rStyle w:val="AlcmChar"/>
          <w:rFonts w:asciiTheme="minorHAnsi" w:eastAsiaTheme="minorHAnsi" w:hAnsiTheme="minorHAnsi" w:cstheme="minorHAnsi"/>
        </w:rPr>
      </w:pPr>
      <w:r w:rsidRPr="00544DB9">
        <w:rPr>
          <w:rStyle w:val="AlcmChar"/>
          <w:rFonts w:asciiTheme="minorHAnsi" w:eastAsiaTheme="minorHAnsi" w:hAnsiTheme="minorHAnsi" w:cstheme="minorHAnsi"/>
        </w:rPr>
        <w:t>I</w:t>
      </w:r>
      <w:r w:rsidR="006D4994" w:rsidRPr="00544DB9">
        <w:rPr>
          <w:rStyle w:val="AlcmChar"/>
          <w:rFonts w:asciiTheme="minorHAnsi" w:eastAsiaTheme="minorHAnsi" w:hAnsiTheme="minorHAnsi" w:cstheme="minorHAnsi"/>
        </w:rPr>
        <w:t xml:space="preserve"> would like to stick to my </w:t>
      </w:r>
      <w:r w:rsidRPr="00544DB9">
        <w:rPr>
          <w:rStyle w:val="AlcmChar"/>
          <w:rFonts w:asciiTheme="minorHAnsi" w:eastAsiaTheme="minorHAnsi" w:hAnsiTheme="minorHAnsi" w:cstheme="minorHAnsi"/>
        </w:rPr>
        <w:t xml:space="preserve">intention </w:t>
      </w:r>
      <w:r w:rsidR="006D4994" w:rsidRPr="00544DB9">
        <w:rPr>
          <w:rStyle w:val="AlcmChar"/>
          <w:rFonts w:asciiTheme="minorHAnsi" w:eastAsiaTheme="minorHAnsi" w:hAnsiTheme="minorHAnsi" w:cstheme="minorHAnsi"/>
        </w:rPr>
        <w:t xml:space="preserve">that I </w:t>
      </w:r>
      <w:r w:rsidRPr="00544DB9">
        <w:rPr>
          <w:rStyle w:val="AlcmChar"/>
          <w:rFonts w:asciiTheme="minorHAnsi" w:eastAsiaTheme="minorHAnsi" w:hAnsiTheme="minorHAnsi" w:cstheme="minorHAnsi"/>
        </w:rPr>
        <w:t>only deal with the above-mentioned three issues</w:t>
      </w:r>
      <w:r w:rsidR="006D4994" w:rsidRPr="00544DB9">
        <w:rPr>
          <w:rStyle w:val="AlcmChar"/>
          <w:rFonts w:asciiTheme="minorHAnsi" w:eastAsiaTheme="minorHAnsi" w:hAnsiTheme="minorHAnsi" w:cstheme="minorHAnsi"/>
        </w:rPr>
        <w:t>. Therefore,</w:t>
      </w:r>
      <w:r w:rsidRPr="00544DB9">
        <w:rPr>
          <w:rStyle w:val="AlcmChar"/>
          <w:rFonts w:asciiTheme="minorHAnsi" w:eastAsiaTheme="minorHAnsi" w:hAnsiTheme="minorHAnsi" w:cstheme="minorHAnsi"/>
        </w:rPr>
        <w:t xml:space="preserve"> I do not </w:t>
      </w:r>
      <w:r w:rsidR="002A26B7" w:rsidRPr="00544DB9">
        <w:rPr>
          <w:rStyle w:val="AlcmChar"/>
          <w:rFonts w:asciiTheme="minorHAnsi" w:eastAsiaTheme="minorHAnsi" w:hAnsiTheme="minorHAnsi" w:cstheme="minorHAnsi"/>
        </w:rPr>
        <w:t xml:space="preserve">elaborate </w:t>
      </w:r>
      <w:r w:rsidR="006D4994" w:rsidRPr="00544DB9">
        <w:rPr>
          <w:rStyle w:val="AlcmChar"/>
          <w:rFonts w:asciiTheme="minorHAnsi" w:eastAsiaTheme="minorHAnsi" w:hAnsiTheme="minorHAnsi" w:cstheme="minorHAnsi"/>
        </w:rPr>
        <w:t xml:space="preserve">on the reasons for which, in </w:t>
      </w:r>
      <w:r w:rsidRPr="00544DB9">
        <w:rPr>
          <w:rStyle w:val="AlcmChar"/>
          <w:rFonts w:asciiTheme="minorHAnsi" w:eastAsiaTheme="minorHAnsi" w:hAnsiTheme="minorHAnsi" w:cstheme="minorHAnsi"/>
        </w:rPr>
        <w:t>my view</w:t>
      </w:r>
      <w:r w:rsidR="006D4994" w:rsidRPr="00544DB9">
        <w:rPr>
          <w:rStyle w:val="AlcmChar"/>
          <w:rFonts w:asciiTheme="minorHAnsi" w:eastAsiaTheme="minorHAnsi" w:hAnsiTheme="minorHAnsi" w:cstheme="minorHAnsi"/>
        </w:rPr>
        <w:t>,</w:t>
      </w:r>
      <w:r w:rsidRPr="00544DB9">
        <w:rPr>
          <w:rStyle w:val="AlcmChar"/>
          <w:rFonts w:asciiTheme="minorHAnsi" w:eastAsiaTheme="minorHAnsi" w:hAnsiTheme="minorHAnsi" w:cstheme="minorHAnsi"/>
        </w:rPr>
        <w:t xml:space="preserve"> the last phrase of paragraph (2) is one of the weak point</w:t>
      </w:r>
      <w:r w:rsidR="006D4994" w:rsidRPr="00544DB9">
        <w:rPr>
          <w:rStyle w:val="AlcmChar"/>
          <w:rFonts w:asciiTheme="minorHAnsi" w:eastAsiaTheme="minorHAnsi" w:hAnsiTheme="minorHAnsi" w:cstheme="minorHAnsi"/>
        </w:rPr>
        <w:t>s</w:t>
      </w:r>
      <w:r w:rsidRPr="00544DB9">
        <w:rPr>
          <w:rStyle w:val="AlcmChar"/>
          <w:rFonts w:asciiTheme="minorHAnsi" w:eastAsiaTheme="minorHAnsi" w:hAnsiTheme="minorHAnsi" w:cstheme="minorHAnsi"/>
        </w:rPr>
        <w:t xml:space="preserve"> of the Article</w:t>
      </w:r>
      <w:r w:rsidR="006D4994" w:rsidRPr="00544DB9">
        <w:rPr>
          <w:rStyle w:val="AlcmChar"/>
          <w:rFonts w:asciiTheme="minorHAnsi" w:eastAsiaTheme="minorHAnsi" w:hAnsiTheme="minorHAnsi" w:cstheme="minorHAnsi"/>
        </w:rPr>
        <w:t>; it may be misused and what may be, will be.</w:t>
      </w:r>
      <w:r w:rsidR="002A26B7" w:rsidRPr="00544DB9">
        <w:rPr>
          <w:rStyle w:val="AlcmChar"/>
          <w:rFonts w:asciiTheme="minorHAnsi" w:eastAsiaTheme="minorHAnsi" w:hAnsiTheme="minorHAnsi" w:cstheme="minorHAnsi"/>
        </w:rPr>
        <w:t xml:space="preserve"> (</w:t>
      </w:r>
      <w:r w:rsidR="006D4994" w:rsidRPr="00544DB9">
        <w:rPr>
          <w:rStyle w:val="AlcmChar"/>
          <w:rFonts w:asciiTheme="minorHAnsi" w:eastAsiaTheme="minorHAnsi" w:hAnsiTheme="minorHAnsi" w:cstheme="minorHAnsi"/>
        </w:rPr>
        <w:t>It is an oxymoron to speak about re</w:t>
      </w:r>
      <w:r w:rsidR="002A26B7" w:rsidRPr="00544DB9">
        <w:rPr>
          <w:rStyle w:val="AlcmChar"/>
          <w:rFonts w:asciiTheme="minorHAnsi" w:eastAsiaTheme="minorHAnsi" w:hAnsiTheme="minorHAnsi" w:cstheme="minorHAnsi"/>
        </w:rPr>
        <w:t>venue-producing non-commercial activity</w:t>
      </w:r>
      <w:r w:rsidR="006D4994" w:rsidRPr="00544DB9">
        <w:rPr>
          <w:rStyle w:val="AlcmChar"/>
          <w:rFonts w:asciiTheme="minorHAnsi" w:eastAsiaTheme="minorHAnsi" w:hAnsiTheme="minorHAnsi" w:cstheme="minorHAnsi"/>
        </w:rPr>
        <w:t xml:space="preserve"> just because </w:t>
      </w:r>
      <w:r w:rsidR="002A26B7" w:rsidRPr="00544DB9">
        <w:rPr>
          <w:rStyle w:val="AlcmChar"/>
          <w:rFonts w:asciiTheme="minorHAnsi" w:eastAsiaTheme="minorHAnsi" w:hAnsiTheme="minorHAnsi" w:cstheme="minorHAnsi"/>
        </w:rPr>
        <w:t xml:space="preserve">the actor does not succeed </w:t>
      </w:r>
      <w:r w:rsidR="006E313F" w:rsidRPr="00544DB9">
        <w:rPr>
          <w:rStyle w:val="AlcmChar"/>
          <w:rFonts w:asciiTheme="minorHAnsi" w:eastAsiaTheme="minorHAnsi" w:hAnsiTheme="minorHAnsi" w:cstheme="minorHAnsi"/>
        </w:rPr>
        <w:t xml:space="preserve">in </w:t>
      </w:r>
      <w:r w:rsidR="002A26B7" w:rsidRPr="00544DB9">
        <w:rPr>
          <w:rStyle w:val="AlcmChar"/>
          <w:rFonts w:asciiTheme="minorHAnsi" w:eastAsiaTheme="minorHAnsi" w:hAnsiTheme="minorHAnsi" w:cstheme="minorHAnsi"/>
        </w:rPr>
        <w:t>obtain</w:t>
      </w:r>
      <w:r w:rsidR="006E313F" w:rsidRPr="00544DB9">
        <w:rPr>
          <w:rStyle w:val="AlcmChar"/>
          <w:rFonts w:asciiTheme="minorHAnsi" w:eastAsiaTheme="minorHAnsi" w:hAnsiTheme="minorHAnsi" w:cstheme="minorHAnsi"/>
        </w:rPr>
        <w:t>ing a</w:t>
      </w:r>
      <w:r w:rsidR="002A26B7" w:rsidRPr="00544DB9">
        <w:rPr>
          <w:rStyle w:val="AlcmChar"/>
          <w:rFonts w:asciiTheme="minorHAnsi" w:eastAsiaTheme="minorHAnsi" w:hAnsiTheme="minorHAnsi" w:cstheme="minorHAnsi"/>
        </w:rPr>
        <w:t xml:space="preserve"> bigger income; it </w:t>
      </w:r>
      <w:r w:rsidR="006D4994" w:rsidRPr="00544DB9">
        <w:rPr>
          <w:rStyle w:val="AlcmChar"/>
          <w:rFonts w:asciiTheme="minorHAnsi" w:eastAsiaTheme="minorHAnsi" w:hAnsiTheme="minorHAnsi" w:cstheme="minorHAnsi"/>
        </w:rPr>
        <w:t xml:space="preserve">somewhat reminds me of </w:t>
      </w:r>
      <w:r w:rsidR="002A26B7" w:rsidRPr="00544DB9">
        <w:rPr>
          <w:rStyle w:val="AlcmChar"/>
          <w:rFonts w:asciiTheme="minorHAnsi" w:eastAsiaTheme="minorHAnsi" w:hAnsiTheme="minorHAnsi" w:cstheme="minorHAnsi"/>
        </w:rPr>
        <w:t xml:space="preserve">the </w:t>
      </w:r>
      <w:r w:rsidR="006D4994" w:rsidRPr="00544DB9">
        <w:rPr>
          <w:rStyle w:val="AlcmChar"/>
          <w:rFonts w:asciiTheme="minorHAnsi" w:eastAsiaTheme="minorHAnsi" w:hAnsiTheme="minorHAnsi" w:cstheme="minorHAnsi"/>
        </w:rPr>
        <w:t xml:space="preserve">recognition </w:t>
      </w:r>
      <w:r w:rsidR="002A26B7" w:rsidRPr="00544DB9">
        <w:rPr>
          <w:rStyle w:val="AlcmChar"/>
          <w:rFonts w:asciiTheme="minorHAnsi" w:eastAsiaTheme="minorHAnsi" w:hAnsiTheme="minorHAnsi" w:cstheme="minorHAnsi"/>
        </w:rPr>
        <w:t>of a</w:t>
      </w:r>
      <w:r w:rsidR="00447010" w:rsidRPr="00544DB9">
        <w:rPr>
          <w:rStyle w:val="AlcmChar"/>
          <w:rFonts w:asciiTheme="minorHAnsi" w:eastAsiaTheme="minorHAnsi" w:hAnsiTheme="minorHAnsi" w:cstheme="minorHAnsi"/>
        </w:rPr>
        <w:t>n</w:t>
      </w:r>
      <w:r w:rsidR="002A26B7" w:rsidRPr="00544DB9">
        <w:rPr>
          <w:rStyle w:val="AlcmChar"/>
          <w:rFonts w:asciiTheme="minorHAnsi" w:eastAsiaTheme="minorHAnsi" w:hAnsiTheme="minorHAnsi" w:cstheme="minorHAnsi"/>
        </w:rPr>
        <w:t xml:space="preserve"> unsuccessful company: „we are </w:t>
      </w:r>
      <w:r w:rsidR="00447010" w:rsidRPr="00544DB9">
        <w:rPr>
          <w:rStyle w:val="AlcmChar"/>
          <w:rFonts w:asciiTheme="minorHAnsi" w:eastAsiaTheme="minorHAnsi" w:hAnsiTheme="minorHAnsi" w:cstheme="minorHAnsi"/>
        </w:rPr>
        <w:t xml:space="preserve">a </w:t>
      </w:r>
      <w:r w:rsidR="002A26B7" w:rsidRPr="00544DB9">
        <w:rPr>
          <w:rStyle w:val="AlcmChar"/>
          <w:rFonts w:asciiTheme="minorHAnsi" w:eastAsiaTheme="minorHAnsi" w:hAnsiTheme="minorHAnsi" w:cstheme="minorHAnsi"/>
        </w:rPr>
        <w:t xml:space="preserve">non-profit entity; we did not intend </w:t>
      </w:r>
      <w:r w:rsidR="006D4994" w:rsidRPr="00544DB9">
        <w:rPr>
          <w:rStyle w:val="AlcmChar"/>
          <w:rFonts w:asciiTheme="minorHAnsi" w:eastAsiaTheme="minorHAnsi" w:hAnsiTheme="minorHAnsi" w:cstheme="minorHAnsi"/>
        </w:rPr>
        <w:t>to be</w:t>
      </w:r>
      <w:r w:rsidR="002A26B7" w:rsidRPr="00544DB9">
        <w:rPr>
          <w:rStyle w:val="AlcmChar"/>
          <w:rFonts w:asciiTheme="minorHAnsi" w:eastAsiaTheme="minorHAnsi" w:hAnsiTheme="minorHAnsi" w:cstheme="minorHAnsi"/>
        </w:rPr>
        <w:t>, but we are</w:t>
      </w:r>
      <w:r w:rsidR="006D4994" w:rsidRPr="00544DB9">
        <w:rPr>
          <w:rStyle w:val="AlcmChar"/>
          <w:rFonts w:asciiTheme="minorHAnsi" w:eastAsiaTheme="minorHAnsi" w:hAnsiTheme="minorHAnsi" w:cstheme="minorHAnsi"/>
        </w:rPr>
        <w:t>”).</w:t>
      </w:r>
      <w:r w:rsidR="006D4994" w:rsidRPr="00283BD7">
        <w:rPr>
          <w:rFonts w:cstheme="minorHAnsi"/>
          <w:w w:val="105"/>
          <w:sz w:val="24"/>
          <w:szCs w:val="24"/>
          <w:lang w:val="en-US"/>
        </w:rPr>
        <w:t xml:space="preserve"> </w:t>
      </w:r>
      <w:r w:rsidR="00C44D92" w:rsidRPr="00544DB9">
        <w:rPr>
          <w:rStyle w:val="AlcmChar"/>
          <w:rFonts w:asciiTheme="minorHAnsi" w:eastAsiaTheme="minorHAnsi" w:hAnsiTheme="minorHAnsi" w:cstheme="minorHAnsi"/>
        </w:rPr>
        <w:t>T</w:t>
      </w:r>
      <w:r w:rsidR="006D4994" w:rsidRPr="00544DB9">
        <w:rPr>
          <w:rStyle w:val="AlcmChar"/>
          <w:rFonts w:asciiTheme="minorHAnsi" w:eastAsiaTheme="minorHAnsi" w:hAnsiTheme="minorHAnsi" w:cstheme="minorHAnsi"/>
        </w:rPr>
        <w:t xml:space="preserve">he </w:t>
      </w:r>
      <w:r w:rsidR="00C44D92" w:rsidRPr="00544DB9">
        <w:rPr>
          <w:rStyle w:val="AlcmChar"/>
          <w:rFonts w:asciiTheme="minorHAnsi" w:eastAsiaTheme="minorHAnsi" w:hAnsiTheme="minorHAnsi" w:cstheme="minorHAnsi"/>
        </w:rPr>
        <w:t>topic</w:t>
      </w:r>
      <w:r w:rsidR="006D4994" w:rsidRPr="00544DB9">
        <w:rPr>
          <w:rStyle w:val="AlcmChar"/>
          <w:rFonts w:asciiTheme="minorHAnsi" w:eastAsiaTheme="minorHAnsi" w:hAnsiTheme="minorHAnsi" w:cstheme="minorHAnsi"/>
        </w:rPr>
        <w:t xml:space="preserve"> </w:t>
      </w:r>
      <w:r w:rsidR="00447010" w:rsidRPr="00544DB9">
        <w:rPr>
          <w:rStyle w:val="AlcmChar"/>
          <w:rFonts w:asciiTheme="minorHAnsi" w:eastAsiaTheme="minorHAnsi" w:hAnsiTheme="minorHAnsi" w:cstheme="minorHAnsi"/>
        </w:rPr>
        <w:t>of</w:t>
      </w:r>
      <w:r w:rsidR="006D4994" w:rsidRPr="00544DB9">
        <w:rPr>
          <w:rStyle w:val="AlcmChar"/>
          <w:rFonts w:asciiTheme="minorHAnsi" w:eastAsiaTheme="minorHAnsi" w:hAnsiTheme="minorHAnsi" w:cstheme="minorHAnsi"/>
        </w:rPr>
        <w:t xml:space="preserve"> this </w:t>
      </w:r>
      <w:r w:rsidR="00447010" w:rsidRPr="00544DB9">
        <w:rPr>
          <w:rStyle w:val="AlcmChar"/>
          <w:rFonts w:asciiTheme="minorHAnsi" w:eastAsiaTheme="minorHAnsi" w:hAnsiTheme="minorHAnsi" w:cstheme="minorHAnsi"/>
        </w:rPr>
        <w:t xml:space="preserve">paper is not this </w:t>
      </w:r>
      <w:r w:rsidR="00385381" w:rsidRPr="00544DB9">
        <w:rPr>
          <w:rStyle w:val="AlcmChar"/>
          <w:rFonts w:asciiTheme="minorHAnsi" w:eastAsiaTheme="minorHAnsi" w:hAnsiTheme="minorHAnsi" w:cstheme="minorHAnsi"/>
        </w:rPr>
        <w:t>or</w:t>
      </w:r>
      <w:r w:rsidR="00447010" w:rsidRPr="00544DB9">
        <w:rPr>
          <w:rStyle w:val="AlcmChar"/>
          <w:rFonts w:asciiTheme="minorHAnsi" w:eastAsiaTheme="minorHAnsi" w:hAnsiTheme="minorHAnsi" w:cstheme="minorHAnsi"/>
        </w:rPr>
        <w:t xml:space="preserve"> the several other weak points of the Directive </w:t>
      </w:r>
      <w:r w:rsidR="00C44D92" w:rsidRPr="00544DB9">
        <w:rPr>
          <w:rStyle w:val="AlcmChar"/>
          <w:rFonts w:asciiTheme="minorHAnsi" w:eastAsiaTheme="minorHAnsi" w:hAnsiTheme="minorHAnsi" w:cstheme="minorHAnsi"/>
        </w:rPr>
        <w:t>(</w:t>
      </w:r>
      <w:r w:rsidR="00447010" w:rsidRPr="00544DB9">
        <w:rPr>
          <w:rStyle w:val="AlcmChar"/>
          <w:rFonts w:asciiTheme="minorHAnsi" w:eastAsiaTheme="minorHAnsi" w:hAnsiTheme="minorHAnsi" w:cstheme="minorHAnsi"/>
        </w:rPr>
        <w:t xml:space="preserve">to which the above-quoted opinion of the ALAI Executive Committee has referred </w:t>
      </w:r>
      <w:r w:rsidR="00A7581D" w:rsidRPr="00544DB9">
        <w:rPr>
          <w:rStyle w:val="AlcmChar"/>
          <w:rFonts w:asciiTheme="minorHAnsi" w:eastAsiaTheme="minorHAnsi" w:hAnsiTheme="minorHAnsi" w:cstheme="minorHAnsi"/>
        </w:rPr>
        <w:t>when it stated that “the version resulting from the trialogue is less protective of authors' rights”</w:t>
      </w:r>
      <w:r w:rsidR="00C44D92" w:rsidRPr="00544DB9">
        <w:rPr>
          <w:rStyle w:val="AlcmChar"/>
          <w:rFonts w:asciiTheme="minorHAnsi" w:eastAsiaTheme="minorHAnsi" w:hAnsiTheme="minorHAnsi" w:cstheme="minorHAnsi"/>
        </w:rPr>
        <w:t>)</w:t>
      </w:r>
      <w:r w:rsidR="00385381" w:rsidRPr="00544DB9">
        <w:rPr>
          <w:rStyle w:val="AlcmChar"/>
          <w:rFonts w:asciiTheme="minorHAnsi" w:eastAsiaTheme="minorHAnsi" w:hAnsiTheme="minorHAnsi" w:cstheme="minorHAnsi"/>
        </w:rPr>
        <w:t>;</w:t>
      </w:r>
      <w:r w:rsidR="00BC659F" w:rsidRPr="00544DB9">
        <w:rPr>
          <w:rStyle w:val="AlcmChar"/>
          <w:rFonts w:asciiTheme="minorHAnsi" w:eastAsiaTheme="minorHAnsi" w:hAnsiTheme="minorHAnsi" w:cstheme="minorHAnsi"/>
        </w:rPr>
        <w:t xml:space="preserve"> otherwise</w:t>
      </w:r>
      <w:r w:rsidR="007F62D5" w:rsidRPr="00544DB9">
        <w:rPr>
          <w:rStyle w:val="AlcmChar"/>
          <w:rFonts w:asciiTheme="minorHAnsi" w:eastAsiaTheme="minorHAnsi" w:hAnsiTheme="minorHAnsi" w:cstheme="minorHAnsi"/>
        </w:rPr>
        <w:t>,</w:t>
      </w:r>
      <w:r w:rsidR="00BC659F" w:rsidRPr="00544DB9">
        <w:rPr>
          <w:rStyle w:val="AlcmChar"/>
          <w:rFonts w:asciiTheme="minorHAnsi" w:eastAsiaTheme="minorHAnsi" w:hAnsiTheme="minorHAnsi" w:cstheme="minorHAnsi"/>
        </w:rPr>
        <w:t xml:space="preserve"> </w:t>
      </w:r>
      <w:r w:rsidR="00A7581D" w:rsidRPr="00544DB9">
        <w:rPr>
          <w:rStyle w:val="AlcmChar"/>
          <w:rFonts w:asciiTheme="minorHAnsi" w:eastAsiaTheme="minorHAnsi" w:hAnsiTheme="minorHAnsi" w:cstheme="minorHAnsi"/>
        </w:rPr>
        <w:t xml:space="preserve">the volume of this paper </w:t>
      </w:r>
      <w:r w:rsidR="00BC659F" w:rsidRPr="00544DB9">
        <w:rPr>
          <w:rStyle w:val="AlcmChar"/>
          <w:rFonts w:asciiTheme="minorHAnsi" w:eastAsiaTheme="minorHAnsi" w:hAnsiTheme="minorHAnsi" w:cstheme="minorHAnsi"/>
        </w:rPr>
        <w:t xml:space="preserve">would </w:t>
      </w:r>
      <w:r w:rsidR="00385381" w:rsidRPr="00544DB9">
        <w:rPr>
          <w:rStyle w:val="AlcmChar"/>
          <w:rFonts w:asciiTheme="minorHAnsi" w:eastAsiaTheme="minorHAnsi" w:hAnsiTheme="minorHAnsi" w:cstheme="minorHAnsi"/>
        </w:rPr>
        <w:t xml:space="preserve">have to </w:t>
      </w:r>
      <w:r w:rsidR="00A7581D" w:rsidRPr="00544DB9">
        <w:rPr>
          <w:rStyle w:val="AlcmChar"/>
          <w:rFonts w:asciiTheme="minorHAnsi" w:eastAsiaTheme="minorHAnsi" w:hAnsiTheme="minorHAnsi" w:cstheme="minorHAnsi"/>
        </w:rPr>
        <w:t>multipl</w:t>
      </w:r>
      <w:r w:rsidR="00385381" w:rsidRPr="00544DB9">
        <w:rPr>
          <w:rStyle w:val="AlcmChar"/>
          <w:rFonts w:asciiTheme="minorHAnsi" w:eastAsiaTheme="minorHAnsi" w:hAnsiTheme="minorHAnsi" w:cstheme="minorHAnsi"/>
        </w:rPr>
        <w:t>y.</w:t>
      </w:r>
      <w:r w:rsidR="00A7581D" w:rsidRPr="00544DB9">
        <w:rPr>
          <w:rStyle w:val="AlcmChar"/>
          <w:rFonts w:asciiTheme="minorHAnsi" w:eastAsiaTheme="minorHAnsi" w:hAnsiTheme="minorHAnsi" w:cstheme="minorHAnsi"/>
        </w:rPr>
        <w:t xml:space="preserve"> </w:t>
      </w:r>
    </w:p>
    <w:p w14:paraId="18734A50" w14:textId="77777777" w:rsidR="007F62D5" w:rsidRDefault="007F62D5" w:rsidP="0003273D">
      <w:pPr>
        <w:tabs>
          <w:tab w:val="left" w:pos="284"/>
        </w:tabs>
        <w:autoSpaceDE w:val="0"/>
        <w:autoSpaceDN w:val="0"/>
        <w:jc w:val="both"/>
        <w:rPr>
          <w:rFonts w:asciiTheme="minorHAnsi" w:hAnsiTheme="minorHAnsi" w:cstheme="minorHAnsi"/>
          <w:sz w:val="24"/>
          <w:szCs w:val="24"/>
          <w:lang w:val="en-US"/>
        </w:rPr>
      </w:pPr>
    </w:p>
    <w:p w14:paraId="62553FBF" w14:textId="7A671EF4" w:rsidR="00AD70A4" w:rsidRPr="00283BD7" w:rsidRDefault="00152379" w:rsidP="0003273D">
      <w:pPr>
        <w:tabs>
          <w:tab w:val="left" w:pos="284"/>
        </w:tabs>
        <w:autoSpaceDE w:val="0"/>
        <w:autoSpaceDN w:val="0"/>
        <w:jc w:val="both"/>
        <w:rPr>
          <w:rFonts w:asciiTheme="minorHAnsi" w:hAnsiTheme="minorHAnsi" w:cstheme="minorHAnsi"/>
          <w:sz w:val="24"/>
          <w:szCs w:val="24"/>
          <w:lang w:val="en-US"/>
        </w:rPr>
      </w:pPr>
      <w:r>
        <w:rPr>
          <w:rFonts w:asciiTheme="minorHAnsi" w:hAnsiTheme="minorHAnsi" w:cstheme="minorHAnsi"/>
          <w:sz w:val="24"/>
          <w:szCs w:val="24"/>
          <w:lang w:val="en-US"/>
        </w:rPr>
        <w:t>T</w:t>
      </w:r>
      <w:r w:rsidR="00B367CE" w:rsidRPr="00283BD7">
        <w:rPr>
          <w:rFonts w:asciiTheme="minorHAnsi" w:hAnsiTheme="minorHAnsi" w:cstheme="minorHAnsi"/>
          <w:sz w:val="24"/>
          <w:szCs w:val="24"/>
          <w:lang w:val="en-US"/>
        </w:rPr>
        <w:t>he Recommendation</w:t>
      </w:r>
      <w:r w:rsidR="00385381">
        <w:rPr>
          <w:rFonts w:asciiTheme="minorHAnsi" w:hAnsiTheme="minorHAnsi" w:cstheme="minorHAnsi"/>
          <w:sz w:val="24"/>
          <w:szCs w:val="24"/>
          <w:lang w:val="en-US"/>
        </w:rPr>
        <w:t>s</w:t>
      </w:r>
      <w:r w:rsidR="00F81F9E" w:rsidRPr="00283BD7">
        <w:rPr>
          <w:rFonts w:asciiTheme="minorHAnsi" w:hAnsiTheme="minorHAnsi" w:cstheme="minorHAnsi"/>
          <w:sz w:val="24"/>
          <w:szCs w:val="24"/>
          <w:lang w:val="en-US"/>
        </w:rPr>
        <w:t xml:space="preserve"> </w:t>
      </w:r>
      <w:r w:rsidR="00B367CE" w:rsidRPr="00283BD7">
        <w:rPr>
          <w:rFonts w:asciiTheme="minorHAnsi" w:hAnsiTheme="minorHAnsi" w:cstheme="minorHAnsi"/>
          <w:sz w:val="24"/>
          <w:szCs w:val="24"/>
          <w:lang w:val="en-US"/>
        </w:rPr>
        <w:t xml:space="preserve">correctly </w:t>
      </w:r>
      <w:r w:rsidR="00385381">
        <w:rPr>
          <w:rFonts w:asciiTheme="minorHAnsi" w:hAnsiTheme="minorHAnsi" w:cstheme="minorHAnsi"/>
          <w:sz w:val="24"/>
          <w:szCs w:val="24"/>
          <w:lang w:val="en-US"/>
        </w:rPr>
        <w:t xml:space="preserve">refer to the fact </w:t>
      </w:r>
      <w:r w:rsidR="00B367CE" w:rsidRPr="00283BD7">
        <w:rPr>
          <w:rFonts w:asciiTheme="minorHAnsi" w:hAnsiTheme="minorHAnsi" w:cstheme="minorHAnsi"/>
          <w:sz w:val="24"/>
          <w:szCs w:val="24"/>
          <w:lang w:val="en-US"/>
        </w:rPr>
        <w:t>that concluding a licensing agreement (direct licensing) is mentioned as one of the examples of the form of authorization</w:t>
      </w:r>
      <w:r w:rsidR="00385381">
        <w:rPr>
          <w:rFonts w:asciiTheme="minorHAnsi" w:hAnsiTheme="minorHAnsi" w:cstheme="minorHAnsi"/>
          <w:sz w:val="24"/>
          <w:szCs w:val="24"/>
          <w:lang w:val="en-US"/>
        </w:rPr>
        <w:t xml:space="preserve"> </w:t>
      </w:r>
      <w:r w:rsidR="00F81F9E" w:rsidRPr="00283BD7">
        <w:rPr>
          <w:rFonts w:asciiTheme="minorHAnsi" w:hAnsiTheme="minorHAnsi" w:cstheme="minorHAnsi"/>
          <w:sz w:val="24"/>
          <w:szCs w:val="24"/>
          <w:lang w:val="en-US"/>
        </w:rPr>
        <w:t xml:space="preserve">and </w:t>
      </w:r>
      <w:r w:rsidR="00385381">
        <w:rPr>
          <w:rFonts w:asciiTheme="minorHAnsi" w:hAnsiTheme="minorHAnsi" w:cstheme="minorHAnsi"/>
          <w:sz w:val="24"/>
          <w:szCs w:val="24"/>
          <w:lang w:val="en-US"/>
        </w:rPr>
        <w:t xml:space="preserve">note </w:t>
      </w:r>
      <w:r w:rsidR="00F81F9E" w:rsidRPr="00283BD7">
        <w:rPr>
          <w:rFonts w:asciiTheme="minorHAnsi" w:hAnsiTheme="minorHAnsi" w:cstheme="minorHAnsi"/>
          <w:sz w:val="24"/>
          <w:szCs w:val="24"/>
          <w:lang w:val="en-US"/>
        </w:rPr>
        <w:t>that other forms of authorization also exist, such as licensing by collective management organization</w:t>
      </w:r>
      <w:r w:rsidR="009C48E1">
        <w:rPr>
          <w:rFonts w:asciiTheme="minorHAnsi" w:hAnsiTheme="minorHAnsi" w:cstheme="minorHAnsi"/>
          <w:sz w:val="24"/>
          <w:szCs w:val="24"/>
          <w:lang w:val="en-US"/>
        </w:rPr>
        <w:t>s</w:t>
      </w:r>
      <w:r w:rsidR="00F81F9E" w:rsidRPr="00283BD7">
        <w:rPr>
          <w:rFonts w:asciiTheme="minorHAnsi" w:hAnsiTheme="minorHAnsi" w:cstheme="minorHAnsi"/>
          <w:sz w:val="24"/>
          <w:szCs w:val="24"/>
          <w:lang w:val="en-US"/>
        </w:rPr>
        <w:t xml:space="preserve"> on behalf of </w:t>
      </w:r>
      <w:r w:rsidR="00385381">
        <w:rPr>
          <w:rFonts w:asciiTheme="minorHAnsi" w:hAnsiTheme="minorHAnsi" w:cstheme="minorHAnsi"/>
          <w:sz w:val="24"/>
          <w:szCs w:val="24"/>
          <w:lang w:val="en-US"/>
        </w:rPr>
        <w:t xml:space="preserve">the </w:t>
      </w:r>
      <w:r w:rsidR="00F81F9E" w:rsidRPr="00283BD7">
        <w:rPr>
          <w:rFonts w:asciiTheme="minorHAnsi" w:hAnsiTheme="minorHAnsi" w:cstheme="minorHAnsi"/>
          <w:sz w:val="24"/>
          <w:szCs w:val="24"/>
          <w:lang w:val="en-US"/>
        </w:rPr>
        <w:t xml:space="preserve">rightholders. Reference is made to the various forms of collective management: voluntary, extended and mandatory. In that connection, it should be noted that the Directive does not change the conditions of collective licensing to be fulfilled in order </w:t>
      </w:r>
      <w:r w:rsidR="00385381">
        <w:rPr>
          <w:rFonts w:asciiTheme="minorHAnsi" w:hAnsiTheme="minorHAnsi" w:cstheme="minorHAnsi"/>
          <w:sz w:val="24"/>
          <w:szCs w:val="24"/>
          <w:lang w:val="en-US"/>
        </w:rPr>
        <w:t xml:space="preserve">to </w:t>
      </w:r>
      <w:r w:rsidR="00F81F9E" w:rsidRPr="00283BD7">
        <w:rPr>
          <w:rFonts w:asciiTheme="minorHAnsi" w:hAnsiTheme="minorHAnsi" w:cstheme="minorHAnsi"/>
          <w:sz w:val="24"/>
          <w:szCs w:val="24"/>
          <w:lang w:val="en-US"/>
        </w:rPr>
        <w:t xml:space="preserve">be in accordance with the EU law and the international treaties. </w:t>
      </w:r>
      <w:r w:rsidR="00AD70A4" w:rsidRPr="00283BD7">
        <w:rPr>
          <w:rFonts w:asciiTheme="minorHAnsi" w:hAnsiTheme="minorHAnsi" w:cstheme="minorHAnsi"/>
          <w:sz w:val="24"/>
          <w:szCs w:val="24"/>
          <w:lang w:val="en-US"/>
        </w:rPr>
        <w:t>Mandatory collective management is a limitation of exclusive rights which may only be applied exceptional</w:t>
      </w:r>
      <w:r w:rsidR="00385381">
        <w:rPr>
          <w:rFonts w:asciiTheme="minorHAnsi" w:hAnsiTheme="minorHAnsi" w:cstheme="minorHAnsi"/>
          <w:sz w:val="24"/>
          <w:szCs w:val="24"/>
          <w:lang w:val="en-US"/>
        </w:rPr>
        <w:t>ly</w:t>
      </w:r>
      <w:r w:rsidR="00AD70A4" w:rsidRPr="00283BD7">
        <w:rPr>
          <w:rFonts w:asciiTheme="minorHAnsi" w:hAnsiTheme="minorHAnsi" w:cstheme="minorHAnsi"/>
          <w:sz w:val="24"/>
          <w:szCs w:val="24"/>
          <w:lang w:val="en-US"/>
        </w:rPr>
        <w:t xml:space="preserve"> subject to the three-step test,</w:t>
      </w:r>
      <w:r w:rsidR="00AD70A4" w:rsidRPr="00283BD7">
        <w:rPr>
          <w:rStyle w:val="Lbjegyzet-hivatkozs"/>
          <w:rFonts w:asciiTheme="minorHAnsi" w:hAnsiTheme="minorHAnsi" w:cstheme="minorHAnsi"/>
          <w:sz w:val="24"/>
          <w:szCs w:val="24"/>
          <w:lang w:val="en-US"/>
        </w:rPr>
        <w:footnoteReference w:id="17"/>
      </w:r>
      <w:r w:rsidR="00AD70A4" w:rsidRPr="00283BD7">
        <w:rPr>
          <w:rFonts w:asciiTheme="minorHAnsi" w:hAnsiTheme="minorHAnsi" w:cstheme="minorHAnsi"/>
          <w:sz w:val="24"/>
          <w:szCs w:val="24"/>
          <w:lang w:val="en-US"/>
        </w:rPr>
        <w:t xml:space="preserve"> and extended collective management is also only applicable in the cases mentioned and with the fulfillment of the conditions prescribed in Article 12 of the Directive. </w:t>
      </w:r>
    </w:p>
    <w:p w14:paraId="7B7B75A0" w14:textId="77777777" w:rsidR="00AD70A4" w:rsidRPr="00283BD7" w:rsidRDefault="00AD70A4" w:rsidP="0003273D">
      <w:pPr>
        <w:tabs>
          <w:tab w:val="left" w:pos="284"/>
        </w:tabs>
        <w:autoSpaceDE w:val="0"/>
        <w:autoSpaceDN w:val="0"/>
        <w:jc w:val="both"/>
        <w:rPr>
          <w:rFonts w:asciiTheme="minorHAnsi" w:hAnsiTheme="minorHAnsi" w:cstheme="minorHAnsi"/>
          <w:sz w:val="24"/>
          <w:szCs w:val="24"/>
          <w:lang w:val="en-US"/>
        </w:rPr>
      </w:pPr>
    </w:p>
    <w:p w14:paraId="4A5C62E6" w14:textId="6C585430" w:rsidR="0003273D" w:rsidRPr="00544DB9" w:rsidRDefault="00AD70A4" w:rsidP="0003273D">
      <w:pPr>
        <w:tabs>
          <w:tab w:val="left" w:pos="284"/>
        </w:tabs>
        <w:autoSpaceDE w:val="0"/>
        <w:autoSpaceDN w:val="0"/>
        <w:jc w:val="both"/>
        <w:rPr>
          <w:rStyle w:val="AlcmChar"/>
          <w:rFonts w:asciiTheme="minorHAnsi" w:eastAsiaTheme="minorHAnsi" w:hAnsiTheme="minorHAnsi" w:cstheme="minorHAnsi"/>
        </w:rPr>
      </w:pPr>
      <w:r w:rsidRPr="00283BD7">
        <w:rPr>
          <w:rFonts w:asciiTheme="minorHAnsi" w:hAnsiTheme="minorHAnsi" w:cstheme="minorHAnsi"/>
          <w:sz w:val="24"/>
          <w:szCs w:val="24"/>
          <w:lang w:val="en-US"/>
        </w:rPr>
        <w:t xml:space="preserve">However, the </w:t>
      </w:r>
      <w:r w:rsidR="00E828D4" w:rsidRPr="00283BD7">
        <w:rPr>
          <w:rFonts w:asciiTheme="minorHAnsi" w:hAnsiTheme="minorHAnsi" w:cstheme="minorHAnsi"/>
          <w:sz w:val="24"/>
          <w:szCs w:val="24"/>
          <w:lang w:val="en-US"/>
        </w:rPr>
        <w:t xml:space="preserve">Recommendations </w:t>
      </w:r>
      <w:r w:rsidR="00385381">
        <w:rPr>
          <w:rFonts w:asciiTheme="minorHAnsi" w:hAnsiTheme="minorHAnsi" w:cstheme="minorHAnsi"/>
          <w:sz w:val="24"/>
          <w:szCs w:val="24"/>
          <w:lang w:val="en-US"/>
        </w:rPr>
        <w:t xml:space="preserve">also </w:t>
      </w:r>
      <w:r w:rsidR="00E828D4" w:rsidRPr="00283BD7">
        <w:rPr>
          <w:rFonts w:asciiTheme="minorHAnsi" w:hAnsiTheme="minorHAnsi" w:cstheme="minorHAnsi"/>
          <w:sz w:val="24"/>
          <w:szCs w:val="24"/>
          <w:lang w:val="en-US"/>
        </w:rPr>
        <w:t xml:space="preserve">suggest that authorization by rightholders may take the form of “statutory licensing (relying on remunerated exceptions or limitations)”. </w:t>
      </w:r>
      <w:r w:rsidR="00C44D92">
        <w:rPr>
          <w:rFonts w:asciiTheme="minorHAnsi" w:hAnsiTheme="minorHAnsi" w:cstheme="minorHAnsi"/>
          <w:sz w:val="24"/>
          <w:szCs w:val="24"/>
          <w:lang w:val="en-US"/>
        </w:rPr>
        <w:t>T</w:t>
      </w:r>
      <w:r w:rsidR="00E828D4" w:rsidRPr="00283BD7">
        <w:rPr>
          <w:rFonts w:asciiTheme="minorHAnsi" w:hAnsiTheme="minorHAnsi" w:cstheme="minorHAnsi"/>
          <w:sz w:val="24"/>
          <w:szCs w:val="24"/>
          <w:lang w:val="en-US"/>
        </w:rPr>
        <w:t xml:space="preserve">his is not the case under the Directive; </w:t>
      </w:r>
      <w:r w:rsidR="00E61CB5" w:rsidRPr="00283BD7">
        <w:rPr>
          <w:rFonts w:asciiTheme="minorHAnsi" w:hAnsiTheme="minorHAnsi" w:cstheme="minorHAnsi"/>
          <w:sz w:val="24"/>
          <w:szCs w:val="24"/>
          <w:lang w:val="en-US"/>
        </w:rPr>
        <w:t>while a collective license may be regarded as authorization granted on behalf the rightholders,</w:t>
      </w:r>
      <w:r w:rsidR="00E828D4" w:rsidRPr="00283BD7">
        <w:rPr>
          <w:rFonts w:asciiTheme="minorHAnsi" w:hAnsiTheme="minorHAnsi" w:cstheme="minorHAnsi"/>
          <w:sz w:val="24"/>
          <w:szCs w:val="24"/>
          <w:lang w:val="en-US"/>
        </w:rPr>
        <w:t xml:space="preserve"> legal licens</w:t>
      </w:r>
      <w:r w:rsidR="00385381">
        <w:rPr>
          <w:rFonts w:asciiTheme="minorHAnsi" w:hAnsiTheme="minorHAnsi" w:cstheme="minorHAnsi"/>
          <w:sz w:val="24"/>
          <w:szCs w:val="24"/>
          <w:lang w:val="en-US"/>
        </w:rPr>
        <w:t>ing</w:t>
      </w:r>
      <w:r w:rsidR="00E828D4" w:rsidRPr="00283BD7">
        <w:rPr>
          <w:rFonts w:asciiTheme="minorHAnsi" w:hAnsiTheme="minorHAnsi" w:cstheme="minorHAnsi"/>
          <w:sz w:val="24"/>
          <w:szCs w:val="24"/>
          <w:lang w:val="en-US"/>
        </w:rPr>
        <w:t xml:space="preserve"> cannot be qualified as authorization granted </w:t>
      </w:r>
      <w:r w:rsidR="00E61CB5" w:rsidRPr="00283BD7">
        <w:rPr>
          <w:rFonts w:asciiTheme="minorHAnsi" w:hAnsiTheme="minorHAnsi" w:cstheme="minorHAnsi"/>
          <w:sz w:val="24"/>
          <w:szCs w:val="24"/>
          <w:lang w:val="en-US"/>
        </w:rPr>
        <w:t xml:space="preserve">either </w:t>
      </w:r>
      <w:r w:rsidR="00E828D4" w:rsidRPr="00283BD7">
        <w:rPr>
          <w:rFonts w:asciiTheme="minorHAnsi" w:hAnsiTheme="minorHAnsi" w:cstheme="minorHAnsi"/>
          <w:sz w:val="24"/>
          <w:szCs w:val="24"/>
          <w:lang w:val="en-US"/>
        </w:rPr>
        <w:t xml:space="preserve">by </w:t>
      </w:r>
      <w:r w:rsidR="00E61CB5" w:rsidRPr="00283BD7">
        <w:rPr>
          <w:rFonts w:asciiTheme="minorHAnsi" w:hAnsiTheme="minorHAnsi" w:cstheme="minorHAnsi"/>
          <w:sz w:val="24"/>
          <w:szCs w:val="24"/>
          <w:lang w:val="en-US"/>
        </w:rPr>
        <w:t xml:space="preserve">or on behalf of </w:t>
      </w:r>
      <w:r w:rsidR="00E828D4" w:rsidRPr="00283BD7">
        <w:rPr>
          <w:rFonts w:asciiTheme="minorHAnsi" w:hAnsiTheme="minorHAnsi" w:cstheme="minorHAnsi"/>
          <w:sz w:val="24"/>
          <w:szCs w:val="24"/>
          <w:lang w:val="en-US"/>
        </w:rPr>
        <w:t>rightholders</w:t>
      </w:r>
      <w:r w:rsidR="00E61CB5" w:rsidRPr="00283BD7">
        <w:rPr>
          <w:rFonts w:asciiTheme="minorHAnsi" w:hAnsiTheme="minorHAnsi" w:cstheme="minorHAnsi"/>
          <w:sz w:val="24"/>
          <w:szCs w:val="24"/>
          <w:lang w:val="en-US"/>
        </w:rPr>
        <w:t>. It is</w:t>
      </w:r>
      <w:r w:rsidR="00E41038" w:rsidRPr="00283BD7">
        <w:rPr>
          <w:rFonts w:asciiTheme="minorHAnsi" w:hAnsiTheme="minorHAnsi" w:cstheme="minorHAnsi"/>
          <w:sz w:val="24"/>
          <w:szCs w:val="24"/>
          <w:lang w:val="en-US"/>
        </w:rPr>
        <w:t xml:space="preserve"> a license granted by the law </w:t>
      </w:r>
      <w:r w:rsidR="00E41038" w:rsidRPr="00283BD7">
        <w:rPr>
          <w:rFonts w:asciiTheme="minorHAnsi" w:hAnsiTheme="minorHAnsi" w:cstheme="minorHAnsi"/>
          <w:i/>
          <w:sz w:val="24"/>
          <w:szCs w:val="24"/>
          <w:lang w:val="en-US"/>
        </w:rPr>
        <w:t xml:space="preserve">instead of </w:t>
      </w:r>
      <w:r w:rsidR="00E41038" w:rsidRPr="00283BD7">
        <w:rPr>
          <w:rFonts w:asciiTheme="minorHAnsi" w:hAnsiTheme="minorHAnsi" w:cstheme="minorHAnsi"/>
          <w:sz w:val="24"/>
          <w:szCs w:val="24"/>
          <w:lang w:val="en-US"/>
        </w:rPr>
        <w:t xml:space="preserve">the rightholders </w:t>
      </w:r>
      <w:r w:rsidR="00E61CB5" w:rsidRPr="00283BD7">
        <w:rPr>
          <w:rFonts w:asciiTheme="minorHAnsi" w:hAnsiTheme="minorHAnsi" w:cstheme="minorHAnsi"/>
          <w:sz w:val="24"/>
          <w:szCs w:val="24"/>
          <w:lang w:val="en-US"/>
        </w:rPr>
        <w:t>concerned</w:t>
      </w:r>
      <w:r w:rsidR="00BA7790">
        <w:rPr>
          <w:rFonts w:asciiTheme="minorHAnsi" w:hAnsiTheme="minorHAnsi" w:cstheme="minorHAnsi"/>
          <w:sz w:val="24"/>
          <w:szCs w:val="24"/>
          <w:lang w:val="en-US"/>
        </w:rPr>
        <w:t>,</w:t>
      </w:r>
      <w:r w:rsidR="00E61CB5" w:rsidRPr="00283BD7">
        <w:rPr>
          <w:rFonts w:asciiTheme="minorHAnsi" w:hAnsiTheme="minorHAnsi" w:cstheme="minorHAnsi"/>
          <w:sz w:val="24"/>
          <w:szCs w:val="24"/>
          <w:lang w:val="en-US"/>
        </w:rPr>
        <w:t xml:space="preserve"> depriving them from their right of authorization. </w:t>
      </w:r>
      <w:r w:rsidR="00385381">
        <w:rPr>
          <w:rFonts w:asciiTheme="minorHAnsi" w:hAnsiTheme="minorHAnsi" w:cstheme="minorHAnsi"/>
          <w:sz w:val="24"/>
          <w:szCs w:val="24"/>
          <w:lang w:val="en-US"/>
        </w:rPr>
        <w:t>The application of legal licenses</w:t>
      </w:r>
      <w:r w:rsidR="00E61CB5" w:rsidRPr="00283BD7">
        <w:rPr>
          <w:rFonts w:asciiTheme="minorHAnsi" w:hAnsiTheme="minorHAnsi" w:cstheme="minorHAnsi"/>
          <w:sz w:val="24"/>
          <w:szCs w:val="24"/>
          <w:lang w:val="en-US"/>
        </w:rPr>
        <w:t xml:space="preserve"> would be in </w:t>
      </w:r>
      <w:r w:rsidR="00C44D92">
        <w:rPr>
          <w:rFonts w:asciiTheme="minorHAnsi" w:hAnsiTheme="minorHAnsi" w:cstheme="minorHAnsi"/>
          <w:sz w:val="24"/>
          <w:szCs w:val="24"/>
          <w:lang w:val="en-US"/>
        </w:rPr>
        <w:t xml:space="preserve">obvious </w:t>
      </w:r>
      <w:r w:rsidR="00E61CB5" w:rsidRPr="00283BD7">
        <w:rPr>
          <w:rFonts w:asciiTheme="minorHAnsi" w:hAnsiTheme="minorHAnsi" w:cstheme="minorHAnsi"/>
          <w:sz w:val="24"/>
          <w:szCs w:val="24"/>
          <w:lang w:val="en-US"/>
        </w:rPr>
        <w:t xml:space="preserve">conflict with the second subparagraph of </w:t>
      </w:r>
      <w:r w:rsidR="00E61CB5" w:rsidRPr="00544DB9">
        <w:rPr>
          <w:rStyle w:val="AlcmChar"/>
          <w:rFonts w:asciiTheme="minorHAnsi" w:eastAsiaTheme="minorHAnsi" w:hAnsiTheme="minorHAnsi" w:cstheme="minorHAnsi"/>
        </w:rPr>
        <w:t xml:space="preserve">Article </w:t>
      </w:r>
      <w:r w:rsidR="002B0180" w:rsidRPr="00544DB9">
        <w:rPr>
          <w:rStyle w:val="AlcmChar"/>
          <w:rFonts w:asciiTheme="minorHAnsi" w:eastAsiaTheme="minorHAnsi" w:hAnsiTheme="minorHAnsi" w:cstheme="minorHAnsi"/>
        </w:rPr>
        <w:t>1</w:t>
      </w:r>
      <w:r w:rsidR="00E61CB5" w:rsidRPr="00544DB9">
        <w:rPr>
          <w:rStyle w:val="AlcmChar"/>
          <w:rFonts w:asciiTheme="minorHAnsi" w:eastAsiaTheme="minorHAnsi" w:hAnsiTheme="minorHAnsi" w:cstheme="minorHAnsi"/>
        </w:rPr>
        <w:t>7(1) which provide</w:t>
      </w:r>
      <w:r w:rsidR="00BA7790" w:rsidRPr="00544DB9">
        <w:rPr>
          <w:rStyle w:val="AlcmChar"/>
          <w:rFonts w:asciiTheme="minorHAnsi" w:eastAsiaTheme="minorHAnsi" w:hAnsiTheme="minorHAnsi" w:cstheme="minorHAnsi"/>
        </w:rPr>
        <w:t>s</w:t>
      </w:r>
      <w:r w:rsidR="00E61CB5" w:rsidRPr="00544DB9">
        <w:rPr>
          <w:rStyle w:val="AlcmChar"/>
          <w:rFonts w:asciiTheme="minorHAnsi" w:eastAsiaTheme="minorHAnsi" w:hAnsiTheme="minorHAnsi" w:cstheme="minorHAnsi"/>
        </w:rPr>
        <w:t xml:space="preserve"> </w:t>
      </w:r>
      <w:r w:rsidR="00385381" w:rsidRPr="00544DB9">
        <w:rPr>
          <w:rStyle w:val="AlcmChar"/>
          <w:rFonts w:asciiTheme="minorHAnsi" w:eastAsiaTheme="minorHAnsi" w:hAnsiTheme="minorHAnsi" w:cstheme="minorHAnsi"/>
        </w:rPr>
        <w:t>t</w:t>
      </w:r>
      <w:r w:rsidR="00B7725E" w:rsidRPr="00544DB9">
        <w:rPr>
          <w:rStyle w:val="AlcmChar"/>
          <w:rFonts w:asciiTheme="minorHAnsi" w:eastAsiaTheme="minorHAnsi" w:hAnsiTheme="minorHAnsi" w:cstheme="minorHAnsi"/>
        </w:rPr>
        <w:t xml:space="preserve">hat </w:t>
      </w:r>
      <w:r w:rsidR="00183308" w:rsidRPr="00544DB9">
        <w:rPr>
          <w:rStyle w:val="AlcmChar"/>
          <w:rFonts w:asciiTheme="minorHAnsi" w:eastAsiaTheme="minorHAnsi" w:hAnsiTheme="minorHAnsi" w:cstheme="minorHAnsi"/>
        </w:rPr>
        <w:t xml:space="preserve">an </w:t>
      </w:r>
      <w:r w:rsidR="00385381" w:rsidRPr="00544DB9">
        <w:rPr>
          <w:rStyle w:val="AlcmChar"/>
          <w:rFonts w:asciiTheme="minorHAnsi" w:eastAsiaTheme="minorHAnsi" w:hAnsiTheme="minorHAnsi" w:cstheme="minorHAnsi"/>
        </w:rPr>
        <w:t>“</w:t>
      </w:r>
      <w:r w:rsidR="00B7725E" w:rsidRPr="00544DB9">
        <w:rPr>
          <w:rStyle w:val="AlcmChar"/>
          <w:rFonts w:asciiTheme="minorHAnsi" w:eastAsiaTheme="minorHAnsi" w:hAnsiTheme="minorHAnsi" w:cstheme="minorHAnsi"/>
        </w:rPr>
        <w:t xml:space="preserve">online content-sharing service provider shall…. obtain an authorisation </w:t>
      </w:r>
      <w:r w:rsidR="00B7725E" w:rsidRPr="00544DB9">
        <w:rPr>
          <w:rStyle w:val="AlcmChar"/>
          <w:rFonts w:asciiTheme="minorHAnsi" w:eastAsiaTheme="minorHAnsi" w:hAnsiTheme="minorHAnsi" w:cstheme="minorHAnsi"/>
          <w:i/>
        </w:rPr>
        <w:t>from the rightholders</w:t>
      </w:r>
      <w:r w:rsidR="00385381" w:rsidRPr="00544DB9">
        <w:rPr>
          <w:rStyle w:val="AlcmChar"/>
          <w:rFonts w:asciiTheme="minorHAnsi" w:eastAsiaTheme="minorHAnsi" w:hAnsiTheme="minorHAnsi" w:cstheme="minorHAnsi"/>
        </w:rPr>
        <w:t>” (Emphasis added.)</w:t>
      </w:r>
      <w:r w:rsidR="00B7725E" w:rsidRPr="00544DB9">
        <w:rPr>
          <w:rStyle w:val="AlcmChar"/>
          <w:rFonts w:asciiTheme="minorHAnsi" w:eastAsiaTheme="minorHAnsi" w:hAnsiTheme="minorHAnsi" w:cstheme="minorHAnsi"/>
        </w:rPr>
        <w:t xml:space="preserve">. Direct licensing mentioned as an example </w:t>
      </w:r>
      <w:r w:rsidR="00D12061" w:rsidRPr="00544DB9">
        <w:rPr>
          <w:rStyle w:val="AlcmChar"/>
          <w:rFonts w:asciiTheme="minorHAnsi" w:eastAsiaTheme="minorHAnsi" w:hAnsiTheme="minorHAnsi" w:cstheme="minorHAnsi"/>
        </w:rPr>
        <w:t xml:space="preserve">for </w:t>
      </w:r>
      <w:r w:rsidR="00283BD7" w:rsidRPr="00544DB9">
        <w:rPr>
          <w:rStyle w:val="AlcmChar"/>
          <w:rFonts w:asciiTheme="minorHAnsi" w:eastAsiaTheme="minorHAnsi" w:hAnsiTheme="minorHAnsi" w:cstheme="minorHAnsi"/>
        </w:rPr>
        <w:t>autho</w:t>
      </w:r>
      <w:r w:rsidR="00B7725E" w:rsidRPr="00544DB9">
        <w:rPr>
          <w:rStyle w:val="AlcmChar"/>
          <w:rFonts w:asciiTheme="minorHAnsi" w:eastAsiaTheme="minorHAnsi" w:hAnsiTheme="minorHAnsi" w:cstheme="minorHAnsi"/>
        </w:rPr>
        <w:t xml:space="preserve">rization by the rightholders </w:t>
      </w:r>
      <w:r w:rsidR="00283BD7" w:rsidRPr="00544DB9">
        <w:rPr>
          <w:rStyle w:val="AlcmChar"/>
          <w:rFonts w:asciiTheme="minorHAnsi" w:eastAsiaTheme="minorHAnsi" w:hAnsiTheme="minorHAnsi" w:cstheme="minorHAnsi"/>
        </w:rPr>
        <w:t xml:space="preserve">is </w:t>
      </w:r>
      <w:r w:rsidR="00B7725E" w:rsidRPr="00544DB9">
        <w:rPr>
          <w:rStyle w:val="AlcmChar"/>
          <w:rFonts w:asciiTheme="minorHAnsi" w:eastAsiaTheme="minorHAnsi" w:hAnsiTheme="minorHAnsi" w:cstheme="minorHAnsi"/>
        </w:rPr>
        <w:t xml:space="preserve">the form </w:t>
      </w:r>
      <w:r w:rsidR="00D12061" w:rsidRPr="00544DB9">
        <w:rPr>
          <w:rStyle w:val="AlcmChar"/>
          <w:rFonts w:asciiTheme="minorHAnsi" w:eastAsiaTheme="minorHAnsi" w:hAnsiTheme="minorHAnsi" w:cstheme="minorHAnsi"/>
        </w:rPr>
        <w:t>that</w:t>
      </w:r>
      <w:r w:rsidR="00B7725E" w:rsidRPr="00544DB9">
        <w:rPr>
          <w:rStyle w:val="AlcmChar"/>
          <w:rFonts w:asciiTheme="minorHAnsi" w:eastAsiaTheme="minorHAnsi" w:hAnsiTheme="minorHAnsi" w:cstheme="minorHAnsi"/>
        </w:rPr>
        <w:t xml:space="preserve"> corresponds in</w:t>
      </w:r>
      <w:r w:rsidR="00EC63AC" w:rsidRPr="00544DB9">
        <w:rPr>
          <w:rStyle w:val="AlcmChar"/>
          <w:rFonts w:asciiTheme="minorHAnsi" w:eastAsiaTheme="minorHAnsi" w:hAnsiTheme="minorHAnsi" w:cstheme="minorHAnsi"/>
        </w:rPr>
        <w:t xml:space="preserve"> </w:t>
      </w:r>
      <w:r w:rsidR="00B7725E" w:rsidRPr="00544DB9">
        <w:rPr>
          <w:rStyle w:val="AlcmChar"/>
          <w:rFonts w:asciiTheme="minorHAnsi" w:eastAsiaTheme="minorHAnsi" w:hAnsiTheme="minorHAnsi" w:cstheme="minorHAnsi"/>
        </w:rPr>
        <w:t xml:space="preserve">the fullest </w:t>
      </w:r>
      <w:r w:rsidR="00283BD7" w:rsidRPr="00544DB9">
        <w:rPr>
          <w:rStyle w:val="AlcmChar"/>
          <w:rFonts w:asciiTheme="minorHAnsi" w:eastAsiaTheme="minorHAnsi" w:hAnsiTheme="minorHAnsi" w:cstheme="minorHAnsi"/>
        </w:rPr>
        <w:t xml:space="preserve">possible </w:t>
      </w:r>
      <w:r w:rsidR="00B7725E" w:rsidRPr="00544DB9">
        <w:rPr>
          <w:rStyle w:val="AlcmChar"/>
          <w:rFonts w:asciiTheme="minorHAnsi" w:eastAsiaTheme="minorHAnsi" w:hAnsiTheme="minorHAnsi" w:cstheme="minorHAnsi"/>
        </w:rPr>
        <w:t xml:space="preserve">way to the exclusive nature of rights. </w:t>
      </w:r>
      <w:r w:rsidR="00EC63AC" w:rsidRPr="00544DB9">
        <w:rPr>
          <w:rStyle w:val="AlcmChar"/>
          <w:rFonts w:asciiTheme="minorHAnsi" w:eastAsiaTheme="minorHAnsi" w:hAnsiTheme="minorHAnsi" w:cstheme="minorHAnsi"/>
        </w:rPr>
        <w:t>The appearance of the word „licensing” in connection with direct licensing</w:t>
      </w:r>
      <w:r w:rsidR="00283BD7" w:rsidRPr="00544DB9">
        <w:rPr>
          <w:rStyle w:val="AlcmChar"/>
          <w:rFonts w:asciiTheme="minorHAnsi" w:eastAsiaTheme="minorHAnsi" w:hAnsiTheme="minorHAnsi" w:cstheme="minorHAnsi"/>
        </w:rPr>
        <w:t xml:space="preserve"> </w:t>
      </w:r>
      <w:r w:rsidR="00DF426F" w:rsidRPr="00544DB9">
        <w:rPr>
          <w:rStyle w:val="AlcmChar"/>
          <w:rFonts w:asciiTheme="minorHAnsi" w:eastAsiaTheme="minorHAnsi" w:hAnsiTheme="minorHAnsi" w:cstheme="minorHAnsi"/>
        </w:rPr>
        <w:t xml:space="preserve">referred to </w:t>
      </w:r>
      <w:r w:rsidR="00283BD7" w:rsidRPr="00544DB9">
        <w:rPr>
          <w:rStyle w:val="AlcmChar"/>
          <w:rFonts w:asciiTheme="minorHAnsi" w:eastAsiaTheme="minorHAnsi" w:hAnsiTheme="minorHAnsi" w:cstheme="minorHAnsi"/>
        </w:rPr>
        <w:t>as an example</w:t>
      </w:r>
      <w:r w:rsidR="00EC63AC" w:rsidRPr="00544DB9">
        <w:rPr>
          <w:rStyle w:val="AlcmChar"/>
          <w:rFonts w:asciiTheme="minorHAnsi" w:eastAsiaTheme="minorHAnsi" w:hAnsiTheme="minorHAnsi" w:cstheme="minorHAnsi"/>
        </w:rPr>
        <w:t xml:space="preserve"> does not change the meaning of the provision; it cannot be understood that legal licenses (not obtained from – not granted by or on behalf of – the rightholders) are also allowed.</w:t>
      </w:r>
      <w:r w:rsidR="006C136F" w:rsidRPr="00544DB9">
        <w:rPr>
          <w:rStyle w:val="AlcmChar"/>
          <w:rFonts w:asciiTheme="minorHAnsi" w:eastAsiaTheme="minorHAnsi" w:hAnsiTheme="minorHAnsi" w:cstheme="minorHAnsi"/>
        </w:rPr>
        <w:t xml:space="preserve"> </w:t>
      </w:r>
      <w:r w:rsidR="00EC63AC" w:rsidRPr="00544DB9">
        <w:rPr>
          <w:rStyle w:val="AlcmChar"/>
          <w:rFonts w:asciiTheme="minorHAnsi" w:eastAsiaTheme="minorHAnsi" w:hAnsiTheme="minorHAnsi" w:cstheme="minorHAnsi"/>
        </w:rPr>
        <w:t xml:space="preserve"> </w:t>
      </w:r>
    </w:p>
    <w:p w14:paraId="554B016C" w14:textId="77777777" w:rsidR="006C136F" w:rsidRPr="00283BD7" w:rsidRDefault="006C136F" w:rsidP="0003273D">
      <w:pPr>
        <w:tabs>
          <w:tab w:val="left" w:pos="284"/>
        </w:tabs>
        <w:autoSpaceDE w:val="0"/>
        <w:autoSpaceDN w:val="0"/>
        <w:jc w:val="both"/>
        <w:rPr>
          <w:rFonts w:asciiTheme="minorHAnsi" w:hAnsiTheme="minorHAnsi" w:cstheme="minorHAnsi"/>
          <w:w w:val="105"/>
          <w:sz w:val="24"/>
          <w:szCs w:val="24"/>
          <w:lang w:val="en-US"/>
        </w:rPr>
      </w:pPr>
    </w:p>
    <w:p w14:paraId="39826D58" w14:textId="052AD52C" w:rsidR="00C075BE" w:rsidRPr="00283BD7" w:rsidRDefault="00705466" w:rsidP="0003273D">
      <w:pPr>
        <w:tabs>
          <w:tab w:val="left" w:pos="284"/>
        </w:tabs>
        <w:autoSpaceDE w:val="0"/>
        <w:autoSpaceDN w:val="0"/>
        <w:jc w:val="both"/>
        <w:rPr>
          <w:rFonts w:asciiTheme="minorHAnsi" w:eastAsia="Times New Roman" w:hAnsiTheme="minorHAnsi" w:cstheme="minorHAnsi"/>
          <w:sz w:val="24"/>
          <w:szCs w:val="24"/>
          <w:lang w:val="en-US" w:eastAsia="hu-HU"/>
        </w:rPr>
      </w:pPr>
      <w:r w:rsidRPr="00283BD7">
        <w:rPr>
          <w:rFonts w:asciiTheme="minorHAnsi" w:hAnsiTheme="minorHAnsi" w:cstheme="minorHAnsi"/>
          <w:sz w:val="24"/>
          <w:szCs w:val="24"/>
          <w:lang w:val="en-US"/>
        </w:rPr>
        <w:t>L</w:t>
      </w:r>
      <w:r w:rsidR="00D5670A" w:rsidRPr="00283BD7">
        <w:rPr>
          <w:rFonts w:asciiTheme="minorHAnsi" w:hAnsiTheme="minorHAnsi" w:cstheme="minorHAnsi"/>
          <w:sz w:val="24"/>
          <w:szCs w:val="24"/>
          <w:lang w:val="en-US"/>
        </w:rPr>
        <w:t>icensing by the rightholders is</w:t>
      </w:r>
      <w:r w:rsidRPr="00283BD7">
        <w:rPr>
          <w:rFonts w:asciiTheme="minorHAnsi" w:hAnsiTheme="minorHAnsi" w:cstheme="minorHAnsi"/>
          <w:sz w:val="24"/>
          <w:szCs w:val="24"/>
          <w:lang w:val="en-US"/>
        </w:rPr>
        <w:t xml:space="preserve"> always </w:t>
      </w:r>
      <w:r w:rsidR="00D5670A" w:rsidRPr="00283BD7">
        <w:rPr>
          <w:rFonts w:asciiTheme="minorHAnsi" w:hAnsiTheme="minorHAnsi" w:cstheme="minorHAnsi"/>
          <w:sz w:val="24"/>
          <w:szCs w:val="24"/>
          <w:lang w:val="en-US"/>
        </w:rPr>
        <w:t xml:space="preserve">a preferred way of exercising rights, rather than fighting against unauthorized rights. Therefore, </w:t>
      </w:r>
      <w:r w:rsidRPr="00283BD7">
        <w:rPr>
          <w:rFonts w:asciiTheme="minorHAnsi" w:hAnsiTheme="minorHAnsi" w:cstheme="minorHAnsi"/>
          <w:sz w:val="24"/>
          <w:szCs w:val="24"/>
          <w:lang w:val="en-US"/>
        </w:rPr>
        <w:t xml:space="preserve">it may hardly be regarded as specificity </w:t>
      </w:r>
      <w:r w:rsidR="00E2218B" w:rsidRPr="00283BD7">
        <w:rPr>
          <w:rFonts w:asciiTheme="minorHAnsi" w:hAnsiTheme="minorHAnsi" w:cstheme="minorHAnsi"/>
          <w:sz w:val="24"/>
          <w:szCs w:val="24"/>
          <w:lang w:val="en-US"/>
        </w:rPr>
        <w:t xml:space="preserve">just </w:t>
      </w:r>
      <w:r w:rsidRPr="00283BD7">
        <w:rPr>
          <w:rFonts w:asciiTheme="minorHAnsi" w:hAnsiTheme="minorHAnsi" w:cstheme="minorHAnsi"/>
          <w:sz w:val="24"/>
          <w:szCs w:val="24"/>
          <w:lang w:val="en-US"/>
        </w:rPr>
        <w:t xml:space="preserve">for the application </w:t>
      </w:r>
      <w:r w:rsidR="00E2218B" w:rsidRPr="00283BD7">
        <w:rPr>
          <w:rFonts w:asciiTheme="minorHAnsi" w:hAnsiTheme="minorHAnsi" w:cstheme="minorHAnsi"/>
          <w:sz w:val="24"/>
          <w:szCs w:val="24"/>
          <w:lang w:val="en-US"/>
        </w:rPr>
        <w:t>of Article 17 wh</w:t>
      </w:r>
      <w:r w:rsidR="00C075BE" w:rsidRPr="00283BD7">
        <w:rPr>
          <w:rFonts w:asciiTheme="minorHAnsi" w:hAnsiTheme="minorHAnsi" w:cstheme="minorHAnsi"/>
          <w:sz w:val="24"/>
          <w:szCs w:val="24"/>
          <w:lang w:val="en-US"/>
        </w:rPr>
        <w:t>en</w:t>
      </w:r>
      <w:r w:rsidR="00E2218B" w:rsidRPr="00283BD7">
        <w:rPr>
          <w:rFonts w:asciiTheme="minorHAnsi" w:hAnsiTheme="minorHAnsi" w:cstheme="minorHAnsi"/>
          <w:sz w:val="24"/>
          <w:szCs w:val="24"/>
          <w:lang w:val="en-US"/>
        </w:rPr>
        <w:t xml:space="preserve"> </w:t>
      </w:r>
      <w:r w:rsidR="00C53154">
        <w:rPr>
          <w:rFonts w:asciiTheme="minorHAnsi" w:hAnsiTheme="minorHAnsi" w:cstheme="minorHAnsi"/>
          <w:sz w:val="24"/>
          <w:szCs w:val="24"/>
          <w:lang w:val="en-US"/>
        </w:rPr>
        <w:t xml:space="preserve">it </w:t>
      </w:r>
      <w:r w:rsidR="00E2218B" w:rsidRPr="00283BD7">
        <w:rPr>
          <w:rFonts w:asciiTheme="minorHAnsi" w:hAnsiTheme="minorHAnsi" w:cstheme="minorHAnsi"/>
          <w:sz w:val="24"/>
          <w:szCs w:val="24"/>
          <w:lang w:val="en-US"/>
        </w:rPr>
        <w:t xml:space="preserve">is stated in recital (61) </w:t>
      </w:r>
      <w:r w:rsidRPr="00283BD7">
        <w:rPr>
          <w:rFonts w:asciiTheme="minorHAnsi" w:hAnsiTheme="minorHAnsi" w:cstheme="minorHAnsi"/>
          <w:sz w:val="24"/>
          <w:szCs w:val="24"/>
          <w:lang w:val="en-US"/>
        </w:rPr>
        <w:t xml:space="preserve">of </w:t>
      </w:r>
      <w:r w:rsidR="00E2218B" w:rsidRPr="00283BD7">
        <w:rPr>
          <w:rFonts w:asciiTheme="minorHAnsi" w:hAnsiTheme="minorHAnsi" w:cstheme="minorHAnsi"/>
          <w:sz w:val="24"/>
          <w:szCs w:val="24"/>
          <w:lang w:val="en-US"/>
        </w:rPr>
        <w:t>the Directive</w:t>
      </w:r>
      <w:r w:rsidR="00C075BE" w:rsidRPr="00283BD7">
        <w:rPr>
          <w:rFonts w:asciiTheme="minorHAnsi" w:hAnsiTheme="minorHAnsi" w:cstheme="minorHAnsi"/>
          <w:sz w:val="24"/>
          <w:szCs w:val="24"/>
          <w:lang w:val="en-US"/>
        </w:rPr>
        <w:t xml:space="preserve"> that “[i]t is… </w:t>
      </w:r>
      <w:r w:rsidR="00C075BE" w:rsidRPr="00283BD7">
        <w:rPr>
          <w:rFonts w:asciiTheme="minorHAnsi" w:eastAsia="Times New Roman" w:hAnsiTheme="minorHAnsi" w:cstheme="minorHAnsi"/>
          <w:sz w:val="24"/>
          <w:szCs w:val="24"/>
          <w:lang w:val="en-US" w:eastAsia="hu-HU"/>
        </w:rPr>
        <w:t>important to foster the development of the licensing market between rightholders and online content-sharing service providers”.  This can in no way be understood as</w:t>
      </w:r>
      <w:r w:rsidR="004D2FED" w:rsidRPr="00283BD7">
        <w:rPr>
          <w:rFonts w:asciiTheme="minorHAnsi" w:eastAsia="Times New Roman" w:hAnsiTheme="minorHAnsi" w:cstheme="minorHAnsi"/>
          <w:sz w:val="24"/>
          <w:szCs w:val="24"/>
          <w:lang w:val="en-US" w:eastAsia="hu-HU"/>
        </w:rPr>
        <w:t xml:space="preserve"> a permission</w:t>
      </w:r>
      <w:r w:rsidR="00C075BE" w:rsidRPr="00283BD7">
        <w:rPr>
          <w:rFonts w:asciiTheme="minorHAnsi" w:eastAsia="Times New Roman" w:hAnsiTheme="minorHAnsi" w:cstheme="minorHAnsi"/>
          <w:sz w:val="24"/>
          <w:szCs w:val="24"/>
          <w:lang w:val="en-US" w:eastAsia="hu-HU"/>
        </w:rPr>
        <w:t xml:space="preserve"> of compulsory licensing, </w:t>
      </w:r>
      <w:r w:rsidR="004D2FED" w:rsidRPr="00283BD7">
        <w:rPr>
          <w:rFonts w:asciiTheme="minorHAnsi" w:eastAsia="Times New Roman" w:hAnsiTheme="minorHAnsi" w:cstheme="minorHAnsi"/>
          <w:sz w:val="24"/>
          <w:szCs w:val="24"/>
          <w:lang w:val="en-US" w:eastAsia="hu-HU"/>
        </w:rPr>
        <w:t xml:space="preserve">some </w:t>
      </w:r>
      <w:r w:rsidR="00C075BE" w:rsidRPr="00283BD7">
        <w:rPr>
          <w:rFonts w:asciiTheme="minorHAnsi" w:eastAsia="Times New Roman" w:hAnsiTheme="minorHAnsi" w:cstheme="minorHAnsi"/>
          <w:sz w:val="24"/>
          <w:szCs w:val="24"/>
          <w:lang w:val="en-US" w:eastAsia="hu-HU"/>
        </w:rPr>
        <w:t xml:space="preserve">statutory license or any kind of legal or ethical obligation of rightholders to authorize uses </w:t>
      </w:r>
      <w:r w:rsidR="004D2FED" w:rsidRPr="00283BD7">
        <w:rPr>
          <w:rFonts w:asciiTheme="minorHAnsi" w:eastAsia="Times New Roman" w:hAnsiTheme="minorHAnsi" w:cstheme="minorHAnsi"/>
          <w:sz w:val="24"/>
          <w:szCs w:val="24"/>
          <w:lang w:val="en-US" w:eastAsia="hu-HU"/>
        </w:rPr>
        <w:t>that</w:t>
      </w:r>
      <w:r w:rsidR="00C075BE" w:rsidRPr="00283BD7">
        <w:rPr>
          <w:rFonts w:asciiTheme="minorHAnsi" w:eastAsia="Times New Roman" w:hAnsiTheme="minorHAnsi" w:cstheme="minorHAnsi"/>
          <w:sz w:val="24"/>
          <w:szCs w:val="24"/>
          <w:lang w:val="en-US" w:eastAsia="hu-HU"/>
        </w:rPr>
        <w:t xml:space="preserve"> they do not wish to authorize. </w:t>
      </w:r>
      <w:r w:rsidR="004D2FED" w:rsidRPr="00283BD7">
        <w:rPr>
          <w:rFonts w:asciiTheme="minorHAnsi" w:eastAsia="Times New Roman" w:hAnsiTheme="minorHAnsi" w:cstheme="minorHAnsi"/>
          <w:sz w:val="24"/>
          <w:szCs w:val="24"/>
          <w:lang w:val="en-US" w:eastAsia="hu-HU"/>
        </w:rPr>
        <w:t xml:space="preserve">The reference to “market” rather than regulatory settlement in itself </w:t>
      </w:r>
      <w:r w:rsidR="00D12061">
        <w:rPr>
          <w:rFonts w:asciiTheme="minorHAnsi" w:eastAsia="Times New Roman" w:hAnsiTheme="minorHAnsi" w:cstheme="minorHAnsi"/>
          <w:sz w:val="24"/>
          <w:szCs w:val="24"/>
          <w:lang w:val="en-US" w:eastAsia="hu-HU"/>
        </w:rPr>
        <w:t>indicates</w:t>
      </w:r>
      <w:r w:rsidR="004D2FED" w:rsidRPr="00283BD7">
        <w:rPr>
          <w:rFonts w:asciiTheme="minorHAnsi" w:eastAsia="Times New Roman" w:hAnsiTheme="minorHAnsi" w:cstheme="minorHAnsi"/>
          <w:sz w:val="24"/>
          <w:szCs w:val="24"/>
          <w:lang w:val="en-US" w:eastAsia="hu-HU"/>
        </w:rPr>
        <w:t xml:space="preserve"> this. It is even more clearly con</w:t>
      </w:r>
      <w:r w:rsidR="00D12061">
        <w:rPr>
          <w:rFonts w:asciiTheme="minorHAnsi" w:eastAsia="Times New Roman" w:hAnsiTheme="minorHAnsi" w:cstheme="minorHAnsi"/>
          <w:sz w:val="24"/>
          <w:szCs w:val="24"/>
          <w:lang w:val="en-US" w:eastAsia="hu-HU"/>
        </w:rPr>
        <w:t>firmed</w:t>
      </w:r>
      <w:r w:rsidR="004D2FED" w:rsidRPr="00283BD7">
        <w:rPr>
          <w:rFonts w:asciiTheme="minorHAnsi" w:eastAsia="Times New Roman" w:hAnsiTheme="minorHAnsi" w:cstheme="minorHAnsi"/>
          <w:sz w:val="24"/>
          <w:szCs w:val="24"/>
          <w:lang w:val="en-US" w:eastAsia="hu-HU"/>
        </w:rPr>
        <w:t xml:space="preserve"> by the fact that the statement about the importance of a healthy licensing market</w:t>
      </w:r>
      <w:r w:rsidR="00D12061">
        <w:rPr>
          <w:rFonts w:asciiTheme="minorHAnsi" w:eastAsia="Times New Roman" w:hAnsiTheme="minorHAnsi" w:cstheme="minorHAnsi"/>
          <w:sz w:val="24"/>
          <w:szCs w:val="24"/>
          <w:lang w:val="en-US" w:eastAsia="hu-HU"/>
        </w:rPr>
        <w:t>,</w:t>
      </w:r>
      <w:r w:rsidR="004D2FED" w:rsidRPr="00283BD7">
        <w:rPr>
          <w:rFonts w:asciiTheme="minorHAnsi" w:eastAsia="Times New Roman" w:hAnsiTheme="minorHAnsi" w:cstheme="minorHAnsi"/>
          <w:sz w:val="24"/>
          <w:szCs w:val="24"/>
          <w:lang w:val="en-US" w:eastAsia="hu-HU"/>
        </w:rPr>
        <w:t xml:space="preserve"> </w:t>
      </w:r>
      <w:r w:rsidR="00D12061">
        <w:rPr>
          <w:rFonts w:asciiTheme="minorHAnsi" w:eastAsia="Times New Roman" w:hAnsiTheme="minorHAnsi" w:cstheme="minorHAnsi"/>
          <w:sz w:val="24"/>
          <w:szCs w:val="24"/>
          <w:lang w:val="en-US" w:eastAsia="hu-HU"/>
        </w:rPr>
        <w:t xml:space="preserve">in the recital, </w:t>
      </w:r>
      <w:r w:rsidR="004D2FED" w:rsidRPr="00283BD7">
        <w:rPr>
          <w:rFonts w:asciiTheme="minorHAnsi" w:eastAsia="Times New Roman" w:hAnsiTheme="minorHAnsi" w:cstheme="minorHAnsi"/>
          <w:sz w:val="24"/>
          <w:szCs w:val="24"/>
          <w:lang w:val="en-US" w:eastAsia="hu-HU"/>
        </w:rPr>
        <w:t>follows a sentence</w:t>
      </w:r>
      <w:r w:rsidR="00C3379D" w:rsidRPr="00283BD7">
        <w:rPr>
          <w:rFonts w:asciiTheme="minorHAnsi" w:eastAsia="Times New Roman" w:hAnsiTheme="minorHAnsi" w:cstheme="minorHAnsi"/>
          <w:sz w:val="24"/>
          <w:szCs w:val="24"/>
          <w:lang w:val="en-US" w:eastAsia="hu-HU"/>
        </w:rPr>
        <w:t xml:space="preserve"> </w:t>
      </w:r>
      <w:r w:rsidR="009D24B4">
        <w:rPr>
          <w:rFonts w:asciiTheme="minorHAnsi" w:eastAsia="Times New Roman" w:hAnsiTheme="minorHAnsi" w:cstheme="minorHAnsi"/>
          <w:sz w:val="24"/>
          <w:szCs w:val="24"/>
          <w:lang w:val="en-US" w:eastAsia="hu-HU"/>
        </w:rPr>
        <w:t>that</w:t>
      </w:r>
      <w:r w:rsidR="004D2FED" w:rsidRPr="00283BD7">
        <w:rPr>
          <w:rFonts w:asciiTheme="minorHAnsi" w:eastAsia="Times New Roman" w:hAnsiTheme="minorHAnsi" w:cstheme="minorHAnsi"/>
          <w:sz w:val="24"/>
          <w:szCs w:val="24"/>
          <w:lang w:val="en-US" w:eastAsia="hu-HU"/>
        </w:rPr>
        <w:t xml:space="preserve"> </w:t>
      </w:r>
      <w:r w:rsidR="00D12061">
        <w:rPr>
          <w:rFonts w:asciiTheme="minorHAnsi" w:eastAsia="Times New Roman" w:hAnsiTheme="minorHAnsi" w:cstheme="minorHAnsi"/>
          <w:sz w:val="24"/>
          <w:szCs w:val="24"/>
          <w:lang w:val="en-US" w:eastAsia="hu-HU"/>
        </w:rPr>
        <w:t>provide</w:t>
      </w:r>
      <w:r w:rsidR="009D24B4">
        <w:rPr>
          <w:rFonts w:asciiTheme="minorHAnsi" w:eastAsia="Times New Roman" w:hAnsiTheme="minorHAnsi" w:cstheme="minorHAnsi"/>
          <w:sz w:val="24"/>
          <w:szCs w:val="24"/>
          <w:lang w:val="en-US" w:eastAsia="hu-HU"/>
        </w:rPr>
        <w:t>s</w:t>
      </w:r>
      <w:r w:rsidR="00D12061">
        <w:rPr>
          <w:rFonts w:asciiTheme="minorHAnsi" w:eastAsia="Times New Roman" w:hAnsiTheme="minorHAnsi" w:cstheme="minorHAnsi"/>
          <w:sz w:val="24"/>
          <w:szCs w:val="24"/>
          <w:lang w:val="en-US" w:eastAsia="hu-HU"/>
        </w:rPr>
        <w:t xml:space="preserve"> </w:t>
      </w:r>
      <w:r w:rsidR="004D2FED" w:rsidRPr="00283BD7">
        <w:rPr>
          <w:rFonts w:asciiTheme="minorHAnsi" w:eastAsia="Times New Roman" w:hAnsiTheme="minorHAnsi" w:cstheme="minorHAnsi"/>
          <w:sz w:val="24"/>
          <w:szCs w:val="24"/>
          <w:lang w:val="en-US" w:eastAsia="hu-HU"/>
        </w:rPr>
        <w:t xml:space="preserve">what </w:t>
      </w:r>
      <w:r w:rsidR="00C3379D" w:rsidRPr="00283BD7">
        <w:rPr>
          <w:rFonts w:asciiTheme="minorHAnsi" w:eastAsia="Times New Roman" w:hAnsiTheme="minorHAnsi" w:cstheme="minorHAnsi"/>
          <w:sz w:val="24"/>
          <w:szCs w:val="24"/>
          <w:lang w:val="en-US" w:eastAsia="hu-HU"/>
        </w:rPr>
        <w:t xml:space="preserve">is supposed to be achieved by licensing (by </w:t>
      </w:r>
      <w:r w:rsidR="00D12061">
        <w:rPr>
          <w:rFonts w:asciiTheme="minorHAnsi" w:eastAsia="Times New Roman" w:hAnsiTheme="minorHAnsi" w:cstheme="minorHAnsi"/>
          <w:sz w:val="24"/>
          <w:szCs w:val="24"/>
          <w:lang w:val="en-US" w:eastAsia="hu-HU"/>
        </w:rPr>
        <w:t>“</w:t>
      </w:r>
      <w:r w:rsidR="00C3379D" w:rsidRPr="00283BD7">
        <w:rPr>
          <w:rFonts w:asciiTheme="minorHAnsi" w:eastAsia="Times New Roman" w:hAnsiTheme="minorHAnsi" w:cstheme="minorHAnsi"/>
          <w:sz w:val="24"/>
          <w:szCs w:val="24"/>
          <w:lang w:val="en-US" w:eastAsia="hu-HU"/>
        </w:rPr>
        <w:t>authorization</w:t>
      </w:r>
      <w:r w:rsidR="00D12061">
        <w:rPr>
          <w:rFonts w:asciiTheme="minorHAnsi" w:eastAsia="Times New Roman" w:hAnsiTheme="minorHAnsi" w:cstheme="minorHAnsi"/>
          <w:sz w:val="24"/>
          <w:szCs w:val="24"/>
          <w:lang w:val="en-US" w:eastAsia="hu-HU"/>
        </w:rPr>
        <w:t>”</w:t>
      </w:r>
      <w:r w:rsidR="00C3379D" w:rsidRPr="00283BD7">
        <w:rPr>
          <w:rFonts w:asciiTheme="minorHAnsi" w:eastAsia="Times New Roman" w:hAnsiTheme="minorHAnsi" w:cstheme="minorHAnsi"/>
          <w:sz w:val="24"/>
          <w:szCs w:val="24"/>
          <w:lang w:val="en-US" w:eastAsia="hu-HU"/>
        </w:rPr>
        <w:t xml:space="preserve"> according to the text of the provision): “</w:t>
      </w:r>
      <w:r w:rsidR="00C3379D" w:rsidRPr="00544DB9">
        <w:rPr>
          <w:rFonts w:asciiTheme="minorHAnsi" w:eastAsia="Times New Roman" w:hAnsiTheme="minorHAnsi" w:cstheme="minorHAnsi"/>
          <w:i/>
          <w:sz w:val="24"/>
          <w:szCs w:val="24"/>
          <w:u w:val="single"/>
          <w:lang w:val="en-US" w:eastAsia="hu-HU"/>
        </w:rPr>
        <w:t>ability of rightholders to determine whether, and under which conditions, their works and other subject matter are used</w:t>
      </w:r>
      <w:r w:rsidR="00C3379D" w:rsidRPr="00283BD7">
        <w:rPr>
          <w:rFonts w:asciiTheme="minorHAnsi" w:eastAsia="Times New Roman" w:hAnsiTheme="minorHAnsi" w:cstheme="minorHAnsi"/>
          <w:sz w:val="24"/>
          <w:szCs w:val="24"/>
          <w:lang w:val="en-US" w:eastAsia="hu-HU"/>
        </w:rPr>
        <w:t>, as well as their ability to obtain appropriate remuneration for such use”</w:t>
      </w:r>
      <w:r w:rsidR="00C44D92">
        <w:rPr>
          <w:rFonts w:asciiTheme="minorHAnsi" w:eastAsia="Times New Roman" w:hAnsiTheme="minorHAnsi" w:cstheme="minorHAnsi"/>
          <w:sz w:val="24"/>
          <w:szCs w:val="24"/>
          <w:lang w:val="en-US" w:eastAsia="hu-HU"/>
        </w:rPr>
        <w:t xml:space="preserve"> (emphasis added)</w:t>
      </w:r>
      <w:r w:rsidR="00C3379D" w:rsidRPr="00283BD7">
        <w:rPr>
          <w:rFonts w:asciiTheme="minorHAnsi" w:eastAsia="Times New Roman" w:hAnsiTheme="minorHAnsi" w:cstheme="minorHAnsi"/>
          <w:sz w:val="24"/>
          <w:szCs w:val="24"/>
          <w:lang w:val="en-US" w:eastAsia="hu-HU"/>
        </w:rPr>
        <w:t xml:space="preserve">.  </w:t>
      </w:r>
      <w:r w:rsidR="006D6F74" w:rsidRPr="00283BD7">
        <w:rPr>
          <w:rFonts w:asciiTheme="minorHAnsi" w:eastAsia="Times New Roman" w:hAnsiTheme="minorHAnsi" w:cstheme="minorHAnsi"/>
          <w:sz w:val="24"/>
          <w:szCs w:val="24"/>
          <w:lang w:val="en-US" w:eastAsia="hu-HU"/>
        </w:rPr>
        <w:t>Th</w:t>
      </w:r>
      <w:r w:rsidR="00C3379D" w:rsidRPr="00283BD7">
        <w:rPr>
          <w:rFonts w:asciiTheme="minorHAnsi" w:eastAsia="Times New Roman" w:hAnsiTheme="minorHAnsi" w:cstheme="minorHAnsi"/>
          <w:sz w:val="24"/>
          <w:szCs w:val="24"/>
          <w:lang w:val="en-US" w:eastAsia="hu-HU"/>
        </w:rPr>
        <w:t>e key aspect is the ability of rightholders to determine whether</w:t>
      </w:r>
      <w:r w:rsidR="004D2FED" w:rsidRPr="00283BD7">
        <w:rPr>
          <w:rFonts w:asciiTheme="minorHAnsi" w:eastAsia="Times New Roman" w:hAnsiTheme="minorHAnsi" w:cstheme="minorHAnsi"/>
          <w:sz w:val="24"/>
          <w:szCs w:val="24"/>
          <w:lang w:val="en-US" w:eastAsia="hu-HU"/>
        </w:rPr>
        <w:t xml:space="preserve"> </w:t>
      </w:r>
      <w:r w:rsidR="00C3379D" w:rsidRPr="00283BD7">
        <w:rPr>
          <w:rFonts w:asciiTheme="minorHAnsi" w:eastAsia="Times New Roman" w:hAnsiTheme="minorHAnsi" w:cstheme="minorHAnsi"/>
          <w:sz w:val="24"/>
          <w:szCs w:val="24"/>
          <w:lang w:val="en-US" w:eastAsia="hu-HU"/>
        </w:rPr>
        <w:t>their works and other subject matter are used, and under what conditions</w:t>
      </w:r>
      <w:r w:rsidR="00D12061">
        <w:rPr>
          <w:rFonts w:asciiTheme="minorHAnsi" w:eastAsia="Times New Roman" w:hAnsiTheme="minorHAnsi" w:cstheme="minorHAnsi"/>
          <w:sz w:val="24"/>
          <w:szCs w:val="24"/>
          <w:lang w:val="en-US" w:eastAsia="hu-HU"/>
        </w:rPr>
        <w:t>. For this</w:t>
      </w:r>
      <w:r w:rsidR="009A5014">
        <w:rPr>
          <w:rFonts w:asciiTheme="minorHAnsi" w:eastAsia="Times New Roman" w:hAnsiTheme="minorHAnsi" w:cstheme="minorHAnsi"/>
          <w:sz w:val="24"/>
          <w:szCs w:val="24"/>
          <w:lang w:val="en-US" w:eastAsia="hu-HU"/>
        </w:rPr>
        <w:t>,</w:t>
      </w:r>
      <w:r w:rsidR="00D12061">
        <w:rPr>
          <w:rFonts w:asciiTheme="minorHAnsi" w:eastAsia="Times New Roman" w:hAnsiTheme="minorHAnsi" w:cstheme="minorHAnsi"/>
          <w:sz w:val="24"/>
          <w:szCs w:val="24"/>
          <w:lang w:val="en-US" w:eastAsia="hu-HU"/>
        </w:rPr>
        <w:t xml:space="preserve"> </w:t>
      </w:r>
      <w:r w:rsidR="00C3379D" w:rsidRPr="00283BD7">
        <w:rPr>
          <w:rFonts w:asciiTheme="minorHAnsi" w:eastAsia="Times New Roman" w:hAnsiTheme="minorHAnsi" w:cstheme="minorHAnsi"/>
          <w:sz w:val="24"/>
          <w:szCs w:val="24"/>
          <w:lang w:val="en-US" w:eastAsia="hu-HU"/>
        </w:rPr>
        <w:t xml:space="preserve">an indispensable, but in itself not sufficient (and in no way </w:t>
      </w:r>
      <w:r w:rsidR="006D6F74" w:rsidRPr="00283BD7">
        <w:rPr>
          <w:rFonts w:asciiTheme="minorHAnsi" w:eastAsia="Times New Roman" w:hAnsiTheme="minorHAnsi" w:cstheme="minorHAnsi"/>
          <w:sz w:val="24"/>
          <w:szCs w:val="24"/>
          <w:lang w:val="en-US" w:eastAsia="hu-HU"/>
        </w:rPr>
        <w:t xml:space="preserve">just </w:t>
      </w:r>
      <w:r w:rsidR="00C3379D" w:rsidRPr="00283BD7">
        <w:rPr>
          <w:rFonts w:asciiTheme="minorHAnsi" w:eastAsia="Times New Roman" w:hAnsiTheme="minorHAnsi" w:cstheme="minorHAnsi"/>
          <w:sz w:val="24"/>
          <w:szCs w:val="24"/>
          <w:lang w:val="en-US" w:eastAsia="hu-HU"/>
        </w:rPr>
        <w:t xml:space="preserve">a possible alternative), element </w:t>
      </w:r>
      <w:r w:rsidR="006D6F74" w:rsidRPr="00283BD7">
        <w:rPr>
          <w:rFonts w:asciiTheme="minorHAnsi" w:eastAsia="Times New Roman" w:hAnsiTheme="minorHAnsi" w:cstheme="minorHAnsi"/>
          <w:sz w:val="24"/>
          <w:szCs w:val="24"/>
          <w:lang w:val="en-US" w:eastAsia="hu-HU"/>
        </w:rPr>
        <w:t xml:space="preserve">is </w:t>
      </w:r>
      <w:r w:rsidR="00C3379D" w:rsidRPr="00283BD7">
        <w:rPr>
          <w:rFonts w:asciiTheme="minorHAnsi" w:eastAsia="Times New Roman" w:hAnsiTheme="minorHAnsi" w:cstheme="minorHAnsi"/>
          <w:sz w:val="24"/>
          <w:szCs w:val="24"/>
          <w:lang w:val="en-US" w:eastAsia="hu-HU"/>
        </w:rPr>
        <w:t xml:space="preserve">the ability to obtain appropriate </w:t>
      </w:r>
      <w:r w:rsidR="006D6F74" w:rsidRPr="00283BD7">
        <w:rPr>
          <w:rFonts w:asciiTheme="minorHAnsi" w:eastAsia="Times New Roman" w:hAnsiTheme="minorHAnsi" w:cstheme="minorHAnsi"/>
          <w:sz w:val="24"/>
          <w:szCs w:val="24"/>
          <w:lang w:val="en-US" w:eastAsia="hu-HU"/>
        </w:rPr>
        <w:t>remuneration.</w:t>
      </w:r>
      <w:r w:rsidR="00C3379D" w:rsidRPr="00283BD7">
        <w:rPr>
          <w:rFonts w:asciiTheme="minorHAnsi" w:eastAsia="Times New Roman" w:hAnsiTheme="minorHAnsi" w:cstheme="minorHAnsi"/>
          <w:sz w:val="24"/>
          <w:szCs w:val="24"/>
          <w:lang w:val="en-US" w:eastAsia="hu-HU"/>
        </w:rPr>
        <w:t xml:space="preserve">    </w:t>
      </w:r>
      <w:r w:rsidR="004D2FED" w:rsidRPr="00283BD7">
        <w:rPr>
          <w:rFonts w:asciiTheme="minorHAnsi" w:eastAsia="Times New Roman" w:hAnsiTheme="minorHAnsi" w:cstheme="minorHAnsi"/>
          <w:sz w:val="24"/>
          <w:szCs w:val="24"/>
          <w:lang w:val="en-US" w:eastAsia="hu-HU"/>
        </w:rPr>
        <w:t xml:space="preserve"> </w:t>
      </w:r>
    </w:p>
    <w:p w14:paraId="5BA98C07" w14:textId="77777777" w:rsidR="00C075BE" w:rsidRPr="00283BD7" w:rsidRDefault="00C075BE" w:rsidP="0003273D">
      <w:pPr>
        <w:tabs>
          <w:tab w:val="left" w:pos="284"/>
        </w:tabs>
        <w:autoSpaceDE w:val="0"/>
        <w:autoSpaceDN w:val="0"/>
        <w:jc w:val="both"/>
        <w:rPr>
          <w:rFonts w:asciiTheme="minorHAnsi" w:eastAsia="Times New Roman" w:hAnsiTheme="minorHAnsi" w:cstheme="minorHAnsi"/>
          <w:sz w:val="24"/>
          <w:szCs w:val="24"/>
          <w:lang w:val="en-US" w:eastAsia="hu-HU"/>
        </w:rPr>
      </w:pPr>
    </w:p>
    <w:p w14:paraId="126DD830" w14:textId="5740BA2B" w:rsidR="006845E1" w:rsidRPr="00544DB9" w:rsidRDefault="006D6F74" w:rsidP="006845E1">
      <w:pPr>
        <w:tabs>
          <w:tab w:val="left" w:pos="284"/>
        </w:tabs>
        <w:autoSpaceDE w:val="0"/>
        <w:autoSpaceDN w:val="0"/>
        <w:jc w:val="both"/>
        <w:rPr>
          <w:sz w:val="24"/>
          <w:szCs w:val="24"/>
          <w:u w:val="single"/>
          <w:lang w:val="en-US"/>
        </w:rPr>
      </w:pPr>
      <w:r w:rsidRPr="00283BD7">
        <w:rPr>
          <w:rFonts w:asciiTheme="minorHAnsi" w:hAnsiTheme="minorHAnsi" w:cstheme="minorHAnsi"/>
          <w:sz w:val="24"/>
          <w:szCs w:val="24"/>
          <w:lang w:val="en-US"/>
        </w:rPr>
        <w:t>However, if there might emerge any unjustified doubt that there is no licensing obligation and no statutory licensing may replace authorization</w:t>
      </w:r>
      <w:r w:rsidR="00D12061">
        <w:rPr>
          <w:rFonts w:asciiTheme="minorHAnsi" w:hAnsiTheme="minorHAnsi" w:cstheme="minorHAnsi"/>
          <w:sz w:val="24"/>
          <w:szCs w:val="24"/>
          <w:lang w:val="en-US"/>
        </w:rPr>
        <w:t xml:space="preserve"> by or on behalf of rightholders</w:t>
      </w:r>
      <w:r w:rsidR="00664ACF">
        <w:rPr>
          <w:rFonts w:asciiTheme="minorHAnsi" w:hAnsiTheme="minorHAnsi" w:cstheme="minorHAnsi"/>
          <w:sz w:val="24"/>
          <w:szCs w:val="24"/>
          <w:lang w:val="en-US"/>
        </w:rPr>
        <w:t xml:space="preserve">, the </w:t>
      </w:r>
      <w:r w:rsidRPr="00283BD7">
        <w:rPr>
          <w:rFonts w:asciiTheme="minorHAnsi" w:hAnsiTheme="minorHAnsi" w:cstheme="minorHAnsi"/>
          <w:sz w:val="24"/>
          <w:szCs w:val="24"/>
          <w:lang w:val="en-US"/>
        </w:rPr>
        <w:t>last sentence of the recital eliminates any chance of misinterpretation:</w:t>
      </w:r>
      <w:r w:rsidR="006845E1" w:rsidRPr="00283BD7">
        <w:rPr>
          <w:rFonts w:asciiTheme="minorHAnsi" w:hAnsiTheme="minorHAnsi" w:cstheme="minorHAnsi"/>
          <w:sz w:val="24"/>
          <w:szCs w:val="24"/>
          <w:lang w:val="en-US"/>
        </w:rPr>
        <w:t xml:space="preserve"> “</w:t>
      </w:r>
      <w:r w:rsidR="006845E1" w:rsidRPr="00283BD7">
        <w:rPr>
          <w:i/>
          <w:w w:val="105"/>
          <w:sz w:val="24"/>
          <w:szCs w:val="24"/>
          <w:lang w:val="en-US"/>
        </w:rPr>
        <w:t xml:space="preserve">However, as contractual freedom should not be affected by those provisions, </w:t>
      </w:r>
      <w:r w:rsidR="006845E1" w:rsidRPr="00544DB9">
        <w:rPr>
          <w:i/>
          <w:w w:val="105"/>
          <w:sz w:val="24"/>
          <w:szCs w:val="24"/>
          <w:u w:val="single"/>
          <w:lang w:val="en-US"/>
        </w:rPr>
        <w:t xml:space="preserve">rightholders should not be obliged to give an authorisation or to conclude licensing agreements.” </w:t>
      </w:r>
      <w:r w:rsidR="006845E1" w:rsidRPr="00544DB9">
        <w:rPr>
          <w:w w:val="105"/>
          <w:sz w:val="24"/>
          <w:szCs w:val="24"/>
          <w:u w:val="single"/>
          <w:lang w:val="en-US"/>
        </w:rPr>
        <w:t xml:space="preserve"> </w:t>
      </w:r>
      <w:r w:rsidR="00C44D92">
        <w:rPr>
          <w:w w:val="105"/>
          <w:sz w:val="24"/>
          <w:szCs w:val="24"/>
          <w:u w:val="single"/>
          <w:lang w:val="en-US"/>
        </w:rPr>
        <w:t>(Emphasis added.)</w:t>
      </w:r>
    </w:p>
    <w:p w14:paraId="1B0B75A4" w14:textId="77777777" w:rsidR="00E2218B" w:rsidRDefault="006D6F74" w:rsidP="006845E1">
      <w:pPr>
        <w:tabs>
          <w:tab w:val="left" w:pos="284"/>
        </w:tabs>
        <w:autoSpaceDE w:val="0"/>
        <w:autoSpaceDN w:val="0"/>
        <w:jc w:val="both"/>
        <w:rPr>
          <w:rFonts w:asciiTheme="minorHAnsi" w:hAnsiTheme="minorHAnsi" w:cstheme="minorHAnsi"/>
          <w:sz w:val="24"/>
          <w:szCs w:val="24"/>
          <w:u w:val="single"/>
          <w:lang w:val="en-US"/>
        </w:rPr>
      </w:pPr>
      <w:r w:rsidRPr="00544DB9">
        <w:rPr>
          <w:rFonts w:asciiTheme="minorHAnsi" w:hAnsiTheme="minorHAnsi" w:cstheme="minorHAnsi"/>
          <w:sz w:val="24"/>
          <w:szCs w:val="24"/>
          <w:u w:val="single"/>
          <w:lang w:val="en-US"/>
        </w:rPr>
        <w:t xml:space="preserve">  </w:t>
      </w:r>
    </w:p>
    <w:p w14:paraId="21ACE401" w14:textId="530B2E00" w:rsidR="00184294" w:rsidRPr="00283BD7" w:rsidRDefault="006845E1" w:rsidP="00DF40CA">
      <w:pPr>
        <w:tabs>
          <w:tab w:val="left" w:pos="284"/>
        </w:tabs>
        <w:autoSpaceDE w:val="0"/>
        <w:autoSpaceDN w:val="0"/>
        <w:jc w:val="center"/>
        <w:rPr>
          <w:rFonts w:asciiTheme="minorHAnsi" w:hAnsiTheme="minorHAnsi" w:cstheme="minorHAnsi"/>
          <w:b/>
          <w:sz w:val="24"/>
          <w:szCs w:val="24"/>
          <w:lang w:val="en-US"/>
        </w:rPr>
      </w:pPr>
      <w:r w:rsidRPr="00283BD7">
        <w:rPr>
          <w:rFonts w:asciiTheme="minorHAnsi" w:hAnsiTheme="minorHAnsi" w:cstheme="minorHAnsi"/>
          <w:b/>
          <w:sz w:val="24"/>
          <w:szCs w:val="24"/>
          <w:lang w:val="en-US"/>
        </w:rPr>
        <w:t xml:space="preserve">IV. Article </w:t>
      </w:r>
      <w:r w:rsidR="002B0180">
        <w:rPr>
          <w:rFonts w:asciiTheme="minorHAnsi" w:hAnsiTheme="minorHAnsi" w:cstheme="minorHAnsi"/>
          <w:b/>
          <w:sz w:val="24"/>
          <w:szCs w:val="24"/>
          <w:lang w:val="en-US"/>
        </w:rPr>
        <w:t>1</w:t>
      </w:r>
      <w:r w:rsidRPr="00283BD7">
        <w:rPr>
          <w:rFonts w:asciiTheme="minorHAnsi" w:hAnsiTheme="minorHAnsi" w:cstheme="minorHAnsi"/>
          <w:b/>
          <w:sz w:val="24"/>
          <w:szCs w:val="24"/>
          <w:lang w:val="en-US"/>
        </w:rPr>
        <w:t>7(9) of the DSM Directive provides for an effective and expeditious complain</w:t>
      </w:r>
      <w:r w:rsidR="00184294" w:rsidRPr="00283BD7">
        <w:rPr>
          <w:rFonts w:asciiTheme="minorHAnsi" w:hAnsiTheme="minorHAnsi" w:cstheme="minorHAnsi"/>
          <w:b/>
          <w:sz w:val="24"/>
          <w:szCs w:val="24"/>
          <w:lang w:val="en-US"/>
        </w:rPr>
        <w:t>t</w:t>
      </w:r>
      <w:r w:rsidRPr="00283BD7">
        <w:rPr>
          <w:rFonts w:asciiTheme="minorHAnsi" w:hAnsiTheme="minorHAnsi" w:cstheme="minorHAnsi"/>
          <w:b/>
          <w:sz w:val="24"/>
          <w:szCs w:val="24"/>
          <w:lang w:val="en-US"/>
        </w:rPr>
        <w:t xml:space="preserve"> and redress mechanism for users of OCSSP</w:t>
      </w:r>
      <w:r w:rsidR="00C56DD0" w:rsidRPr="00283BD7">
        <w:rPr>
          <w:rFonts w:asciiTheme="minorHAnsi" w:hAnsiTheme="minorHAnsi" w:cstheme="minorHAnsi"/>
          <w:b/>
          <w:sz w:val="24"/>
          <w:szCs w:val="24"/>
          <w:lang w:val="en-US"/>
        </w:rPr>
        <w:t>s</w:t>
      </w:r>
      <w:r w:rsidRPr="00283BD7">
        <w:rPr>
          <w:rFonts w:asciiTheme="minorHAnsi" w:hAnsiTheme="minorHAnsi" w:cstheme="minorHAnsi"/>
          <w:b/>
          <w:sz w:val="24"/>
          <w:szCs w:val="24"/>
          <w:lang w:val="en-US"/>
        </w:rPr>
        <w:t xml:space="preserve"> in relation to their uploads to which access </w:t>
      </w:r>
      <w:r w:rsidRPr="00283BD7">
        <w:rPr>
          <w:rFonts w:asciiTheme="minorHAnsi" w:hAnsiTheme="minorHAnsi" w:cstheme="minorHAnsi"/>
          <w:b/>
          <w:i/>
          <w:sz w:val="24"/>
          <w:szCs w:val="24"/>
          <w:lang w:val="en-US"/>
        </w:rPr>
        <w:t xml:space="preserve">has been </w:t>
      </w:r>
      <w:r w:rsidRPr="00283BD7">
        <w:rPr>
          <w:rFonts w:asciiTheme="minorHAnsi" w:hAnsiTheme="minorHAnsi" w:cstheme="minorHAnsi"/>
          <w:b/>
          <w:sz w:val="24"/>
          <w:szCs w:val="24"/>
          <w:lang w:val="en-US"/>
        </w:rPr>
        <w:t xml:space="preserve">disabled or that </w:t>
      </w:r>
      <w:r w:rsidRPr="00283BD7">
        <w:rPr>
          <w:rFonts w:asciiTheme="minorHAnsi" w:hAnsiTheme="minorHAnsi" w:cstheme="minorHAnsi"/>
          <w:b/>
          <w:i/>
          <w:sz w:val="24"/>
          <w:szCs w:val="24"/>
          <w:lang w:val="en-US"/>
        </w:rPr>
        <w:t>has been</w:t>
      </w:r>
      <w:r w:rsidRPr="00283BD7">
        <w:rPr>
          <w:rFonts w:asciiTheme="minorHAnsi" w:hAnsiTheme="minorHAnsi" w:cstheme="minorHAnsi"/>
          <w:b/>
          <w:sz w:val="24"/>
          <w:szCs w:val="24"/>
          <w:lang w:val="en-US"/>
        </w:rPr>
        <w:t xml:space="preserve"> removed </w:t>
      </w:r>
      <w:r w:rsidR="0080692F">
        <w:rPr>
          <w:rFonts w:asciiTheme="minorHAnsi" w:hAnsiTheme="minorHAnsi" w:cstheme="minorHAnsi"/>
          <w:b/>
          <w:sz w:val="24"/>
          <w:szCs w:val="24"/>
          <w:lang w:val="en-US"/>
        </w:rPr>
        <w:t xml:space="preserve">– </w:t>
      </w:r>
      <w:r w:rsidRPr="00283BD7">
        <w:rPr>
          <w:rFonts w:asciiTheme="minorHAnsi" w:hAnsiTheme="minorHAnsi" w:cstheme="minorHAnsi"/>
          <w:b/>
          <w:sz w:val="24"/>
          <w:szCs w:val="24"/>
          <w:lang w:val="en-US"/>
        </w:rPr>
        <w:t xml:space="preserve">and not </w:t>
      </w:r>
      <w:r w:rsidR="00D87B3A">
        <w:rPr>
          <w:rFonts w:asciiTheme="minorHAnsi" w:hAnsiTheme="minorHAnsi" w:cstheme="minorHAnsi"/>
          <w:b/>
          <w:sz w:val="24"/>
          <w:szCs w:val="24"/>
          <w:lang w:val="en-US"/>
        </w:rPr>
        <w:t xml:space="preserve">for </w:t>
      </w:r>
      <w:r w:rsidR="003509ED" w:rsidRPr="00283BD7">
        <w:rPr>
          <w:rFonts w:asciiTheme="minorHAnsi" w:hAnsiTheme="minorHAnsi" w:cstheme="minorHAnsi"/>
          <w:b/>
          <w:sz w:val="24"/>
          <w:szCs w:val="24"/>
          <w:lang w:val="en-US"/>
        </w:rPr>
        <w:t xml:space="preserve">a </w:t>
      </w:r>
      <w:r w:rsidR="0080692F">
        <w:rPr>
          <w:rFonts w:asciiTheme="minorHAnsi" w:hAnsiTheme="minorHAnsi" w:cstheme="minorHAnsi"/>
          <w:b/>
          <w:sz w:val="24"/>
          <w:szCs w:val="24"/>
          <w:lang w:val="en-US"/>
        </w:rPr>
        <w:t xml:space="preserve">pre-blocking </w:t>
      </w:r>
      <w:r w:rsidR="003509ED" w:rsidRPr="00283BD7">
        <w:rPr>
          <w:rFonts w:asciiTheme="minorHAnsi" w:hAnsiTheme="minorHAnsi" w:cstheme="minorHAnsi"/>
          <w:b/>
          <w:sz w:val="24"/>
          <w:szCs w:val="24"/>
          <w:lang w:val="en-US"/>
        </w:rPr>
        <w:t>preliminary procedure</w:t>
      </w:r>
      <w:r w:rsidR="00184294" w:rsidRPr="00283BD7">
        <w:rPr>
          <w:rFonts w:asciiTheme="minorHAnsi" w:hAnsiTheme="minorHAnsi" w:cstheme="minorHAnsi"/>
          <w:b/>
          <w:sz w:val="24"/>
          <w:szCs w:val="24"/>
          <w:lang w:val="en-US"/>
        </w:rPr>
        <w:t xml:space="preserve"> </w:t>
      </w:r>
      <w:r w:rsidR="0080692F">
        <w:rPr>
          <w:rFonts w:asciiTheme="minorHAnsi" w:hAnsiTheme="minorHAnsi" w:cstheme="minorHAnsi"/>
          <w:b/>
          <w:sz w:val="24"/>
          <w:szCs w:val="24"/>
          <w:lang w:val="en-US"/>
        </w:rPr>
        <w:t xml:space="preserve">as suggested in the Recommendations </w:t>
      </w:r>
      <w:r w:rsidR="003509ED" w:rsidRPr="00283BD7">
        <w:rPr>
          <w:rFonts w:asciiTheme="minorHAnsi" w:hAnsiTheme="minorHAnsi" w:cstheme="minorHAnsi"/>
          <w:b/>
          <w:sz w:val="24"/>
          <w:szCs w:val="24"/>
          <w:lang w:val="en-US"/>
        </w:rPr>
        <w:t xml:space="preserve">to clarify whether OCSSPs are “allowed” to </w:t>
      </w:r>
      <w:r w:rsidR="00184294" w:rsidRPr="00283BD7">
        <w:rPr>
          <w:rFonts w:asciiTheme="minorHAnsi" w:hAnsiTheme="minorHAnsi" w:cstheme="minorHAnsi"/>
          <w:b/>
          <w:sz w:val="24"/>
          <w:szCs w:val="24"/>
          <w:lang w:val="en-US"/>
        </w:rPr>
        <w:t xml:space="preserve">disable access to or remove uploads </w:t>
      </w:r>
      <w:r w:rsidR="005F7AC9">
        <w:rPr>
          <w:rFonts w:asciiTheme="minorHAnsi" w:hAnsiTheme="minorHAnsi" w:cstheme="minorHAnsi"/>
          <w:b/>
          <w:sz w:val="24"/>
          <w:szCs w:val="24"/>
          <w:lang w:val="en-US"/>
        </w:rPr>
        <w:t xml:space="preserve">as </w:t>
      </w:r>
      <w:r w:rsidR="0080692F">
        <w:rPr>
          <w:rFonts w:asciiTheme="minorHAnsi" w:hAnsiTheme="minorHAnsi" w:cstheme="minorHAnsi"/>
          <w:b/>
          <w:sz w:val="24"/>
          <w:szCs w:val="24"/>
          <w:lang w:val="en-US"/>
        </w:rPr>
        <w:t>provided in</w:t>
      </w:r>
      <w:r w:rsidR="00D87B3A">
        <w:rPr>
          <w:rFonts w:asciiTheme="minorHAnsi" w:hAnsiTheme="minorHAnsi" w:cstheme="minorHAnsi"/>
          <w:b/>
          <w:sz w:val="24"/>
          <w:szCs w:val="24"/>
          <w:lang w:val="en-US"/>
        </w:rPr>
        <w:t xml:space="preserve"> Article </w:t>
      </w:r>
      <w:r w:rsidR="002B0180">
        <w:rPr>
          <w:rFonts w:asciiTheme="minorHAnsi" w:hAnsiTheme="minorHAnsi" w:cstheme="minorHAnsi"/>
          <w:b/>
          <w:sz w:val="24"/>
          <w:szCs w:val="24"/>
          <w:lang w:val="en-US"/>
        </w:rPr>
        <w:t>1</w:t>
      </w:r>
      <w:r w:rsidR="003509ED" w:rsidRPr="00283BD7">
        <w:rPr>
          <w:rFonts w:asciiTheme="minorHAnsi" w:hAnsiTheme="minorHAnsi" w:cstheme="minorHAnsi"/>
          <w:b/>
          <w:sz w:val="24"/>
          <w:szCs w:val="24"/>
          <w:lang w:val="en-US"/>
        </w:rPr>
        <w:t xml:space="preserve">7(4)(b) </w:t>
      </w:r>
      <w:r w:rsidR="00D87B3A">
        <w:rPr>
          <w:rFonts w:asciiTheme="minorHAnsi" w:hAnsiTheme="minorHAnsi" w:cstheme="minorHAnsi"/>
          <w:b/>
          <w:sz w:val="24"/>
          <w:szCs w:val="24"/>
          <w:lang w:val="en-US"/>
        </w:rPr>
        <w:t>and (c)</w:t>
      </w:r>
      <w:r w:rsidR="005F7AC9">
        <w:rPr>
          <w:rFonts w:asciiTheme="minorHAnsi" w:hAnsiTheme="minorHAnsi" w:cstheme="minorHAnsi"/>
          <w:b/>
          <w:sz w:val="24"/>
          <w:szCs w:val="24"/>
          <w:lang w:val="en-US"/>
        </w:rPr>
        <w:t xml:space="preserve"> </w:t>
      </w:r>
    </w:p>
    <w:p w14:paraId="00B3C286" w14:textId="77777777" w:rsidR="00184294" w:rsidRPr="00283BD7" w:rsidRDefault="00184294" w:rsidP="006845E1">
      <w:pPr>
        <w:tabs>
          <w:tab w:val="left" w:pos="284"/>
        </w:tabs>
        <w:autoSpaceDE w:val="0"/>
        <w:autoSpaceDN w:val="0"/>
        <w:jc w:val="both"/>
        <w:rPr>
          <w:rFonts w:asciiTheme="minorHAnsi" w:hAnsiTheme="minorHAnsi" w:cstheme="minorHAnsi"/>
          <w:b/>
          <w:sz w:val="24"/>
          <w:szCs w:val="24"/>
          <w:lang w:val="en-US"/>
        </w:rPr>
      </w:pPr>
    </w:p>
    <w:p w14:paraId="0B3A3F16" w14:textId="6EF09EF9" w:rsidR="00C56DD0" w:rsidRPr="00283BD7" w:rsidRDefault="002B2360" w:rsidP="002B2360">
      <w:pPr>
        <w:tabs>
          <w:tab w:val="left" w:pos="284"/>
        </w:tabs>
        <w:autoSpaceDE w:val="0"/>
        <w:autoSpaceDN w:val="0"/>
        <w:jc w:val="both"/>
        <w:rPr>
          <w:rFonts w:asciiTheme="minorHAnsi" w:hAnsiTheme="minorHAnsi" w:cstheme="minorHAnsi"/>
          <w:sz w:val="24"/>
          <w:szCs w:val="24"/>
          <w:lang w:val="en-US"/>
        </w:rPr>
      </w:pPr>
      <w:r w:rsidRPr="00283BD7">
        <w:rPr>
          <w:rFonts w:asciiTheme="minorHAnsi" w:hAnsiTheme="minorHAnsi" w:cstheme="minorHAnsi"/>
          <w:sz w:val="24"/>
          <w:szCs w:val="24"/>
          <w:lang w:val="en-US"/>
        </w:rPr>
        <w:t xml:space="preserve">In </w:t>
      </w:r>
      <w:r w:rsidR="00184294" w:rsidRPr="00283BD7">
        <w:rPr>
          <w:rFonts w:asciiTheme="minorHAnsi" w:hAnsiTheme="minorHAnsi" w:cstheme="minorHAnsi"/>
          <w:sz w:val="24"/>
          <w:szCs w:val="24"/>
          <w:lang w:val="en-US"/>
        </w:rPr>
        <w:t xml:space="preserve">Article </w:t>
      </w:r>
      <w:r w:rsidR="002B0180">
        <w:rPr>
          <w:rFonts w:asciiTheme="minorHAnsi" w:hAnsiTheme="minorHAnsi" w:cstheme="minorHAnsi"/>
          <w:sz w:val="24"/>
          <w:szCs w:val="24"/>
          <w:lang w:val="en-US"/>
        </w:rPr>
        <w:t>1</w:t>
      </w:r>
      <w:r w:rsidR="00184294" w:rsidRPr="00283BD7">
        <w:rPr>
          <w:rFonts w:asciiTheme="minorHAnsi" w:hAnsiTheme="minorHAnsi" w:cstheme="minorHAnsi"/>
          <w:sz w:val="24"/>
          <w:szCs w:val="24"/>
          <w:lang w:val="en-US"/>
        </w:rPr>
        <w:t>7(9) of the Directive</w:t>
      </w:r>
      <w:r w:rsidR="00664ACF">
        <w:rPr>
          <w:rFonts w:asciiTheme="minorHAnsi" w:hAnsiTheme="minorHAnsi" w:cstheme="minorHAnsi"/>
          <w:sz w:val="24"/>
          <w:szCs w:val="24"/>
          <w:lang w:val="en-US"/>
        </w:rPr>
        <w:t>,</w:t>
      </w:r>
      <w:r w:rsidR="00184294" w:rsidRPr="00283BD7">
        <w:rPr>
          <w:rFonts w:asciiTheme="minorHAnsi" w:hAnsiTheme="minorHAnsi" w:cstheme="minorHAnsi"/>
          <w:sz w:val="24"/>
          <w:szCs w:val="24"/>
          <w:lang w:val="en-US"/>
        </w:rPr>
        <w:t xml:space="preserve"> </w:t>
      </w:r>
      <w:r w:rsidRPr="00283BD7">
        <w:rPr>
          <w:rFonts w:asciiTheme="minorHAnsi" w:hAnsiTheme="minorHAnsi" w:cstheme="minorHAnsi"/>
          <w:sz w:val="24"/>
          <w:szCs w:val="24"/>
          <w:lang w:val="en-US"/>
        </w:rPr>
        <w:t>the following dispute settlement system is for</w:t>
      </w:r>
      <w:r w:rsidR="00664ACF">
        <w:rPr>
          <w:rFonts w:asciiTheme="minorHAnsi" w:hAnsiTheme="minorHAnsi" w:cstheme="minorHAnsi"/>
          <w:sz w:val="24"/>
          <w:szCs w:val="24"/>
          <w:lang w:val="en-US"/>
        </w:rPr>
        <w:t>e</w:t>
      </w:r>
      <w:r w:rsidRPr="00283BD7">
        <w:rPr>
          <w:rFonts w:asciiTheme="minorHAnsi" w:hAnsiTheme="minorHAnsi" w:cstheme="minorHAnsi"/>
          <w:sz w:val="24"/>
          <w:szCs w:val="24"/>
          <w:lang w:val="en-US"/>
        </w:rPr>
        <w:t>seen:</w:t>
      </w:r>
      <w:r w:rsidR="00184294" w:rsidRPr="00283BD7">
        <w:rPr>
          <w:rFonts w:asciiTheme="minorHAnsi" w:hAnsiTheme="minorHAnsi" w:cstheme="minorHAnsi"/>
          <w:sz w:val="24"/>
          <w:szCs w:val="24"/>
          <w:lang w:val="en-US"/>
        </w:rPr>
        <w:t xml:space="preserve">  </w:t>
      </w:r>
      <w:r w:rsidR="006845E1" w:rsidRPr="00283BD7">
        <w:rPr>
          <w:rFonts w:asciiTheme="minorHAnsi" w:hAnsiTheme="minorHAnsi" w:cstheme="minorHAnsi"/>
          <w:sz w:val="24"/>
          <w:szCs w:val="24"/>
          <w:lang w:val="en-US"/>
        </w:rPr>
        <w:t xml:space="preserve">    </w:t>
      </w:r>
    </w:p>
    <w:p w14:paraId="5492EF81" w14:textId="77777777" w:rsidR="002B2360" w:rsidRPr="00283BD7" w:rsidRDefault="002B2360" w:rsidP="00045AC6">
      <w:pPr>
        <w:ind w:left="567"/>
        <w:jc w:val="both"/>
        <w:rPr>
          <w:rFonts w:asciiTheme="minorHAnsi" w:eastAsia="Times New Roman" w:hAnsiTheme="minorHAnsi" w:cstheme="minorHAnsi"/>
          <w:sz w:val="24"/>
          <w:szCs w:val="24"/>
          <w:lang w:val="en-US" w:eastAsia="hu-HU"/>
        </w:rPr>
      </w:pPr>
      <w:r w:rsidRPr="00283BD7">
        <w:rPr>
          <w:rFonts w:asciiTheme="minorHAnsi" w:eastAsia="Times New Roman" w:hAnsiTheme="minorHAnsi" w:cstheme="minorHAnsi"/>
          <w:sz w:val="24"/>
          <w:szCs w:val="24"/>
          <w:lang w:val="en-US" w:eastAsia="hu-HU"/>
        </w:rPr>
        <w:t xml:space="preserve">Member States shall provide that online content-sharing service providers put in place </w:t>
      </w:r>
      <w:r w:rsidRPr="00283BD7">
        <w:rPr>
          <w:rFonts w:asciiTheme="minorHAnsi" w:eastAsia="Times New Roman" w:hAnsiTheme="minorHAnsi" w:cstheme="minorHAnsi"/>
          <w:i/>
          <w:sz w:val="24"/>
          <w:szCs w:val="24"/>
          <w:lang w:val="en-US" w:eastAsia="hu-HU"/>
        </w:rPr>
        <w:t>an effective and expeditious complaint and redress mechanism that is available to users</w:t>
      </w:r>
      <w:r w:rsidRPr="00283BD7">
        <w:rPr>
          <w:rFonts w:asciiTheme="minorHAnsi" w:eastAsia="Times New Roman" w:hAnsiTheme="minorHAnsi" w:cstheme="minorHAnsi"/>
          <w:sz w:val="24"/>
          <w:szCs w:val="24"/>
          <w:lang w:val="en-US" w:eastAsia="hu-HU"/>
        </w:rPr>
        <w:t xml:space="preserve"> of their services in the event of </w:t>
      </w:r>
      <w:r w:rsidRPr="00283BD7">
        <w:rPr>
          <w:rFonts w:asciiTheme="minorHAnsi" w:eastAsia="Times New Roman" w:hAnsiTheme="minorHAnsi" w:cstheme="minorHAnsi"/>
          <w:i/>
          <w:sz w:val="24"/>
          <w:szCs w:val="24"/>
          <w:lang w:val="en-US" w:eastAsia="hu-HU"/>
        </w:rPr>
        <w:t>disputes over the disabling of access to, or the removal of, works or other subject matter uploaded by the</w:t>
      </w:r>
      <w:r w:rsidRPr="00283BD7">
        <w:rPr>
          <w:rFonts w:asciiTheme="minorHAnsi" w:eastAsia="Times New Roman" w:hAnsiTheme="minorHAnsi" w:cstheme="minorHAnsi"/>
          <w:sz w:val="24"/>
          <w:szCs w:val="24"/>
          <w:lang w:val="en-US" w:eastAsia="hu-HU"/>
        </w:rPr>
        <w:t>m.</w:t>
      </w:r>
    </w:p>
    <w:p w14:paraId="23FB1C44" w14:textId="77777777" w:rsidR="002B2360" w:rsidRPr="00283BD7" w:rsidRDefault="002B2360" w:rsidP="00045AC6">
      <w:pPr>
        <w:ind w:left="567"/>
        <w:jc w:val="both"/>
        <w:rPr>
          <w:rFonts w:asciiTheme="minorHAnsi" w:eastAsia="Times New Roman" w:hAnsiTheme="minorHAnsi" w:cstheme="minorHAnsi"/>
          <w:sz w:val="24"/>
          <w:szCs w:val="24"/>
          <w:lang w:val="en-US" w:eastAsia="hu-HU"/>
        </w:rPr>
      </w:pPr>
      <w:r w:rsidRPr="00283BD7">
        <w:rPr>
          <w:rFonts w:asciiTheme="minorHAnsi" w:eastAsia="Times New Roman" w:hAnsiTheme="minorHAnsi" w:cstheme="minorHAnsi"/>
          <w:sz w:val="24"/>
          <w:szCs w:val="24"/>
          <w:lang w:val="en-US" w:eastAsia="hu-HU"/>
        </w:rPr>
        <w:t xml:space="preserve">Where rightholders request to have access to their specific works or other subject matter disabled or to have those works or other subject matter removed, they shall duly justify the reasons for their requests. Complaints submitted under the mechanism provided for in the first subparagraph shall be processed without undue delay, and decisions to disable access to or remove uploaded content shall be subject to human review. </w:t>
      </w:r>
      <w:r w:rsidRPr="00283BD7">
        <w:rPr>
          <w:rFonts w:asciiTheme="minorHAnsi" w:eastAsia="Times New Roman" w:hAnsiTheme="minorHAnsi" w:cstheme="minorHAnsi"/>
          <w:i/>
          <w:sz w:val="24"/>
          <w:szCs w:val="24"/>
          <w:lang w:val="en-US" w:eastAsia="hu-HU"/>
        </w:rPr>
        <w:t>Member States shall also ensure that out-of-court redress mechanisms are available for the settlement of disputes</w:t>
      </w:r>
      <w:r w:rsidRPr="00283BD7">
        <w:rPr>
          <w:rFonts w:asciiTheme="minorHAnsi" w:eastAsia="Times New Roman" w:hAnsiTheme="minorHAnsi" w:cstheme="minorHAnsi"/>
          <w:sz w:val="24"/>
          <w:szCs w:val="24"/>
          <w:lang w:val="en-US" w:eastAsia="hu-HU"/>
        </w:rPr>
        <w:t xml:space="preserve">. Such mechanisms shall enable disputes to be settled impartially and shall not deprive the user of the legal protection afforded by national law, without prejudice to the rights of users to have recourse to efficient judicial remedies. In particular, </w:t>
      </w:r>
      <w:r w:rsidRPr="00283BD7">
        <w:rPr>
          <w:rFonts w:asciiTheme="minorHAnsi" w:eastAsia="Times New Roman" w:hAnsiTheme="minorHAnsi" w:cstheme="minorHAnsi"/>
          <w:i/>
          <w:sz w:val="24"/>
          <w:szCs w:val="24"/>
          <w:lang w:val="en-US" w:eastAsia="hu-HU"/>
        </w:rPr>
        <w:t>Member States shall ensure that users have access to a court or another relevant judicial authority to assert the use of an exception or limitation to copyright and related rights</w:t>
      </w:r>
      <w:r w:rsidRPr="00283BD7">
        <w:rPr>
          <w:rFonts w:asciiTheme="minorHAnsi" w:eastAsia="Times New Roman" w:hAnsiTheme="minorHAnsi" w:cstheme="minorHAnsi"/>
          <w:sz w:val="24"/>
          <w:szCs w:val="24"/>
          <w:lang w:val="en-US" w:eastAsia="hu-HU"/>
        </w:rPr>
        <w:t>.</w:t>
      </w:r>
      <w:r w:rsidR="00922CA7">
        <w:rPr>
          <w:rFonts w:asciiTheme="minorHAnsi" w:eastAsia="Times New Roman" w:hAnsiTheme="minorHAnsi" w:cstheme="minorHAnsi"/>
          <w:sz w:val="24"/>
          <w:szCs w:val="24"/>
          <w:lang w:val="en-US" w:eastAsia="hu-HU"/>
        </w:rPr>
        <w:t xml:space="preserve"> (Emphasis added.)</w:t>
      </w:r>
    </w:p>
    <w:p w14:paraId="73782A2D" w14:textId="200FA2A8" w:rsidR="002617F8" w:rsidRPr="00283BD7" w:rsidRDefault="00271749" w:rsidP="002B2360">
      <w:pPr>
        <w:spacing w:before="100" w:beforeAutospacing="1" w:after="100" w:afterAutospacing="1"/>
        <w:jc w:val="both"/>
        <w:rPr>
          <w:rFonts w:asciiTheme="minorHAnsi" w:eastAsia="Times New Roman" w:hAnsiTheme="minorHAnsi" w:cstheme="minorHAnsi"/>
          <w:sz w:val="24"/>
          <w:szCs w:val="24"/>
          <w:lang w:val="en-US" w:eastAsia="hu-HU"/>
        </w:rPr>
      </w:pPr>
      <w:r w:rsidRPr="00283BD7">
        <w:rPr>
          <w:rFonts w:asciiTheme="minorHAnsi" w:eastAsia="Times New Roman" w:hAnsiTheme="minorHAnsi" w:cstheme="minorHAnsi"/>
          <w:sz w:val="24"/>
          <w:szCs w:val="24"/>
          <w:lang w:val="en-US" w:eastAsia="hu-HU"/>
        </w:rPr>
        <w:t xml:space="preserve">For the interpretation of these provisions, it is necessary to take into account the provisions of Article </w:t>
      </w:r>
      <w:r w:rsidR="002B0180">
        <w:rPr>
          <w:rFonts w:asciiTheme="minorHAnsi" w:eastAsia="Times New Roman" w:hAnsiTheme="minorHAnsi" w:cstheme="minorHAnsi"/>
          <w:sz w:val="24"/>
          <w:szCs w:val="24"/>
          <w:lang w:val="en-US" w:eastAsia="hu-HU"/>
        </w:rPr>
        <w:t>1</w:t>
      </w:r>
      <w:r w:rsidR="00283BD7" w:rsidRPr="00283BD7">
        <w:rPr>
          <w:rFonts w:asciiTheme="minorHAnsi" w:eastAsia="Times New Roman" w:hAnsiTheme="minorHAnsi" w:cstheme="minorHAnsi"/>
          <w:sz w:val="24"/>
          <w:szCs w:val="24"/>
          <w:lang w:val="en-US" w:eastAsia="hu-HU"/>
        </w:rPr>
        <w:t>7(</w:t>
      </w:r>
      <w:r w:rsidRPr="00283BD7">
        <w:rPr>
          <w:rFonts w:asciiTheme="minorHAnsi" w:eastAsia="Times New Roman" w:hAnsiTheme="minorHAnsi" w:cstheme="minorHAnsi"/>
          <w:sz w:val="24"/>
          <w:szCs w:val="24"/>
          <w:lang w:val="en-US" w:eastAsia="hu-HU"/>
        </w:rPr>
        <w:t>4)(b) and (c):</w:t>
      </w:r>
    </w:p>
    <w:p w14:paraId="63F6F981" w14:textId="77777777" w:rsidR="002617F8" w:rsidRPr="00283BD7" w:rsidRDefault="002617F8" w:rsidP="002617F8">
      <w:pPr>
        <w:ind w:left="567"/>
        <w:jc w:val="both"/>
        <w:rPr>
          <w:rFonts w:asciiTheme="minorHAnsi" w:eastAsia="Times New Roman" w:hAnsiTheme="minorHAnsi" w:cstheme="minorHAnsi"/>
          <w:sz w:val="24"/>
          <w:szCs w:val="24"/>
          <w:lang w:val="en-US" w:eastAsia="hu-HU"/>
        </w:rPr>
      </w:pPr>
      <w:r w:rsidRPr="00283BD7">
        <w:rPr>
          <w:rFonts w:asciiTheme="minorHAnsi" w:eastAsia="Times New Roman" w:hAnsiTheme="minorHAnsi" w:cstheme="minorHAnsi"/>
          <w:sz w:val="24"/>
          <w:szCs w:val="24"/>
          <w:lang w:val="en-US" w:eastAsia="hu-HU"/>
        </w:rPr>
        <w:t xml:space="preserve">If no authorisation is granted, online content-sharing service providers </w:t>
      </w:r>
      <w:r w:rsidRPr="00283BD7">
        <w:rPr>
          <w:rFonts w:asciiTheme="minorHAnsi" w:eastAsia="Times New Roman" w:hAnsiTheme="minorHAnsi" w:cstheme="minorHAnsi"/>
          <w:i/>
          <w:sz w:val="24"/>
          <w:szCs w:val="24"/>
          <w:lang w:val="en-US" w:eastAsia="hu-HU"/>
        </w:rPr>
        <w:t>shall be liable</w:t>
      </w:r>
      <w:r w:rsidRPr="00283BD7">
        <w:rPr>
          <w:rFonts w:asciiTheme="minorHAnsi" w:eastAsia="Times New Roman" w:hAnsiTheme="minorHAnsi" w:cstheme="minorHAnsi"/>
          <w:sz w:val="24"/>
          <w:szCs w:val="24"/>
          <w:lang w:val="en-US" w:eastAsia="hu-HU"/>
        </w:rPr>
        <w:t xml:space="preserve"> for unauthorised acts of communication to the public, including making available to the public, of copyright-protected works and other subject matter, </w:t>
      </w:r>
      <w:r w:rsidRPr="00283BD7">
        <w:rPr>
          <w:rFonts w:asciiTheme="minorHAnsi" w:eastAsia="Times New Roman" w:hAnsiTheme="minorHAnsi" w:cstheme="minorHAnsi"/>
          <w:i/>
          <w:sz w:val="24"/>
          <w:szCs w:val="24"/>
          <w:lang w:val="en-US" w:eastAsia="hu-HU"/>
        </w:rPr>
        <w:t>unless the service providers demonstrate that they have</w:t>
      </w:r>
      <w:r w:rsidRPr="00283BD7">
        <w:rPr>
          <w:rFonts w:asciiTheme="minorHAnsi" w:eastAsia="Times New Roman" w:hAnsiTheme="minorHAnsi" w:cstheme="minorHAnsi"/>
          <w:sz w:val="24"/>
          <w:szCs w:val="24"/>
          <w:lang w:val="en-US" w:eastAsia="hu-HU"/>
        </w:rPr>
        <w:t>:</w:t>
      </w:r>
    </w:p>
    <w:p w14:paraId="14CEBF21" w14:textId="77777777" w:rsidR="002617F8" w:rsidRPr="00283BD7" w:rsidRDefault="002617F8" w:rsidP="002617F8">
      <w:pPr>
        <w:ind w:left="567"/>
        <w:jc w:val="both"/>
        <w:rPr>
          <w:rFonts w:asciiTheme="minorHAnsi" w:eastAsia="Times New Roman" w:hAnsiTheme="minorHAnsi" w:cstheme="minorHAnsi"/>
          <w:sz w:val="24"/>
          <w:szCs w:val="24"/>
          <w:lang w:val="en-US" w:eastAsia="hu-HU"/>
        </w:rPr>
      </w:pPr>
      <w:r w:rsidRPr="00283BD7">
        <w:rPr>
          <w:rFonts w:asciiTheme="minorHAnsi" w:eastAsia="Times New Roman" w:hAnsiTheme="minorHAnsi" w:cstheme="minorHAnsi"/>
          <w:sz w:val="24"/>
          <w:szCs w:val="24"/>
          <w:lang w:val="en-US" w:eastAsia="hu-HU"/>
        </w:rPr>
        <w:t>(a) made best efforts to obtain an authorisation, and</w:t>
      </w:r>
    </w:p>
    <w:p w14:paraId="5A8712BA" w14:textId="77777777" w:rsidR="002617F8" w:rsidRPr="00283BD7" w:rsidRDefault="002617F8" w:rsidP="002617F8">
      <w:pPr>
        <w:ind w:left="567"/>
        <w:jc w:val="both"/>
        <w:rPr>
          <w:rFonts w:asciiTheme="minorHAnsi" w:eastAsia="Times New Roman" w:hAnsiTheme="minorHAnsi" w:cstheme="minorHAnsi"/>
          <w:sz w:val="24"/>
          <w:szCs w:val="24"/>
          <w:lang w:val="en-US" w:eastAsia="hu-HU"/>
        </w:rPr>
      </w:pPr>
      <w:r w:rsidRPr="00283BD7">
        <w:rPr>
          <w:rFonts w:asciiTheme="minorHAnsi" w:eastAsia="Times New Roman" w:hAnsiTheme="minorHAnsi" w:cstheme="minorHAnsi"/>
          <w:sz w:val="24"/>
          <w:szCs w:val="24"/>
          <w:lang w:val="en-US" w:eastAsia="hu-HU"/>
        </w:rPr>
        <w:t xml:space="preserve">(b) </w:t>
      </w:r>
      <w:r w:rsidRPr="00283BD7">
        <w:rPr>
          <w:rFonts w:asciiTheme="minorHAnsi" w:eastAsia="Times New Roman" w:hAnsiTheme="minorHAnsi" w:cstheme="minorHAnsi"/>
          <w:i/>
          <w:sz w:val="24"/>
          <w:szCs w:val="24"/>
          <w:lang w:val="en-US" w:eastAsia="hu-HU"/>
        </w:rPr>
        <w:t>made</w:t>
      </w:r>
      <w:r w:rsidRPr="00283BD7">
        <w:rPr>
          <w:rFonts w:asciiTheme="minorHAnsi" w:eastAsia="Times New Roman" w:hAnsiTheme="minorHAnsi" w:cstheme="minorHAnsi"/>
          <w:sz w:val="24"/>
          <w:szCs w:val="24"/>
          <w:lang w:val="en-US" w:eastAsia="hu-HU"/>
        </w:rPr>
        <w:t xml:space="preserve">, in accordance with high industry standards of professional diligence, </w:t>
      </w:r>
      <w:r w:rsidRPr="00283BD7">
        <w:rPr>
          <w:rFonts w:asciiTheme="minorHAnsi" w:eastAsia="Times New Roman" w:hAnsiTheme="minorHAnsi" w:cstheme="minorHAnsi"/>
          <w:i/>
          <w:sz w:val="24"/>
          <w:szCs w:val="24"/>
          <w:lang w:val="en-US" w:eastAsia="hu-HU"/>
        </w:rPr>
        <w:t xml:space="preserve">best efforts </w:t>
      </w:r>
      <w:r w:rsidRPr="00544DB9">
        <w:rPr>
          <w:rFonts w:asciiTheme="minorHAnsi" w:eastAsia="Times New Roman" w:hAnsiTheme="minorHAnsi" w:cstheme="minorHAnsi"/>
          <w:i/>
          <w:sz w:val="24"/>
          <w:szCs w:val="24"/>
          <w:u w:val="single"/>
          <w:lang w:val="en-US" w:eastAsia="hu-HU"/>
        </w:rPr>
        <w:t>to ensure the unavailability</w:t>
      </w:r>
      <w:r w:rsidRPr="00283BD7">
        <w:rPr>
          <w:rFonts w:asciiTheme="minorHAnsi" w:eastAsia="Times New Roman" w:hAnsiTheme="minorHAnsi" w:cstheme="minorHAnsi"/>
          <w:i/>
          <w:sz w:val="24"/>
          <w:szCs w:val="24"/>
          <w:lang w:val="en-US" w:eastAsia="hu-HU"/>
        </w:rPr>
        <w:t xml:space="preserve"> of specific works and other subject matter</w:t>
      </w:r>
      <w:r w:rsidRPr="00283BD7">
        <w:rPr>
          <w:rFonts w:asciiTheme="minorHAnsi" w:eastAsia="Times New Roman" w:hAnsiTheme="minorHAnsi" w:cstheme="minorHAnsi"/>
          <w:sz w:val="24"/>
          <w:szCs w:val="24"/>
          <w:lang w:val="en-US" w:eastAsia="hu-HU"/>
        </w:rPr>
        <w:t xml:space="preserve"> </w:t>
      </w:r>
      <w:r w:rsidRPr="00283BD7">
        <w:rPr>
          <w:rFonts w:asciiTheme="minorHAnsi" w:eastAsia="Times New Roman" w:hAnsiTheme="minorHAnsi" w:cstheme="minorHAnsi"/>
          <w:i/>
          <w:sz w:val="24"/>
          <w:szCs w:val="24"/>
          <w:lang w:val="en-US" w:eastAsia="hu-HU"/>
        </w:rPr>
        <w:t>for which the rightholders</w:t>
      </w:r>
      <w:r w:rsidRPr="00283BD7">
        <w:rPr>
          <w:rFonts w:asciiTheme="minorHAnsi" w:eastAsia="Times New Roman" w:hAnsiTheme="minorHAnsi" w:cstheme="minorHAnsi"/>
          <w:sz w:val="24"/>
          <w:szCs w:val="24"/>
          <w:lang w:val="en-US" w:eastAsia="hu-HU"/>
        </w:rPr>
        <w:t xml:space="preserve"> </w:t>
      </w:r>
      <w:r w:rsidRPr="00283BD7">
        <w:rPr>
          <w:rFonts w:asciiTheme="minorHAnsi" w:eastAsia="Times New Roman" w:hAnsiTheme="minorHAnsi" w:cstheme="minorHAnsi"/>
          <w:i/>
          <w:sz w:val="24"/>
          <w:szCs w:val="24"/>
          <w:lang w:val="en-US" w:eastAsia="hu-HU"/>
        </w:rPr>
        <w:t>have provided</w:t>
      </w:r>
      <w:r w:rsidRPr="00283BD7">
        <w:rPr>
          <w:rFonts w:asciiTheme="minorHAnsi" w:eastAsia="Times New Roman" w:hAnsiTheme="minorHAnsi" w:cstheme="minorHAnsi"/>
          <w:sz w:val="24"/>
          <w:szCs w:val="24"/>
          <w:lang w:val="en-US" w:eastAsia="hu-HU"/>
        </w:rPr>
        <w:t xml:space="preserve"> the service providers with the relevant and necessary </w:t>
      </w:r>
      <w:r w:rsidRPr="00283BD7">
        <w:rPr>
          <w:rFonts w:asciiTheme="minorHAnsi" w:eastAsia="Times New Roman" w:hAnsiTheme="minorHAnsi" w:cstheme="minorHAnsi"/>
          <w:i/>
          <w:sz w:val="24"/>
          <w:szCs w:val="24"/>
          <w:lang w:val="en-US" w:eastAsia="hu-HU"/>
        </w:rPr>
        <w:t>informatio</w:t>
      </w:r>
      <w:r w:rsidRPr="00283BD7">
        <w:rPr>
          <w:rFonts w:asciiTheme="minorHAnsi" w:eastAsia="Times New Roman" w:hAnsiTheme="minorHAnsi" w:cstheme="minorHAnsi"/>
          <w:sz w:val="24"/>
          <w:szCs w:val="24"/>
          <w:lang w:val="en-US" w:eastAsia="hu-HU"/>
        </w:rPr>
        <w:t>n; and in any event</w:t>
      </w:r>
    </w:p>
    <w:p w14:paraId="0AE65D30" w14:textId="77777777" w:rsidR="002617F8" w:rsidRPr="00922CA7" w:rsidRDefault="002617F8" w:rsidP="002617F8">
      <w:pPr>
        <w:ind w:left="567"/>
        <w:jc w:val="both"/>
        <w:rPr>
          <w:rFonts w:asciiTheme="minorHAnsi" w:eastAsia="Times New Roman" w:hAnsiTheme="minorHAnsi" w:cstheme="minorHAnsi"/>
          <w:sz w:val="24"/>
          <w:szCs w:val="24"/>
          <w:lang w:val="en-US" w:eastAsia="hu-HU"/>
        </w:rPr>
      </w:pPr>
      <w:r w:rsidRPr="00283BD7">
        <w:rPr>
          <w:rFonts w:asciiTheme="minorHAnsi" w:eastAsia="Times New Roman" w:hAnsiTheme="minorHAnsi" w:cstheme="minorHAnsi"/>
          <w:sz w:val="24"/>
          <w:szCs w:val="24"/>
          <w:lang w:val="en-US" w:eastAsia="hu-HU"/>
        </w:rPr>
        <w:t xml:space="preserve">(c) </w:t>
      </w:r>
      <w:r w:rsidRPr="00283BD7">
        <w:rPr>
          <w:rFonts w:asciiTheme="minorHAnsi" w:eastAsia="Times New Roman" w:hAnsiTheme="minorHAnsi" w:cstheme="minorHAnsi"/>
          <w:i/>
          <w:sz w:val="24"/>
          <w:szCs w:val="24"/>
          <w:lang w:val="en-US" w:eastAsia="hu-HU"/>
        </w:rPr>
        <w:t>acted expeditiously</w:t>
      </w:r>
      <w:r w:rsidRPr="00283BD7">
        <w:rPr>
          <w:rFonts w:asciiTheme="minorHAnsi" w:eastAsia="Times New Roman" w:hAnsiTheme="minorHAnsi" w:cstheme="minorHAnsi"/>
          <w:sz w:val="24"/>
          <w:szCs w:val="24"/>
          <w:lang w:val="en-US" w:eastAsia="hu-HU"/>
        </w:rPr>
        <w:t xml:space="preserve">, upon receiving a sufficiently substantiated notice from the rightholders, </w:t>
      </w:r>
      <w:r w:rsidRPr="00283BD7">
        <w:rPr>
          <w:rFonts w:asciiTheme="minorHAnsi" w:eastAsia="Times New Roman" w:hAnsiTheme="minorHAnsi" w:cstheme="minorHAnsi"/>
          <w:i/>
          <w:sz w:val="24"/>
          <w:szCs w:val="24"/>
          <w:lang w:val="en-US" w:eastAsia="hu-HU"/>
        </w:rPr>
        <w:t xml:space="preserve">to disable access to, or to remove </w:t>
      </w:r>
      <w:r w:rsidRPr="00283BD7">
        <w:rPr>
          <w:rFonts w:asciiTheme="minorHAnsi" w:eastAsia="Times New Roman" w:hAnsiTheme="minorHAnsi" w:cstheme="minorHAnsi"/>
          <w:sz w:val="24"/>
          <w:szCs w:val="24"/>
          <w:lang w:val="en-US" w:eastAsia="hu-HU"/>
        </w:rPr>
        <w:t>from their websites</w:t>
      </w:r>
      <w:r w:rsidRPr="00283BD7">
        <w:rPr>
          <w:rFonts w:asciiTheme="minorHAnsi" w:eastAsia="Times New Roman" w:hAnsiTheme="minorHAnsi" w:cstheme="minorHAnsi"/>
          <w:i/>
          <w:sz w:val="24"/>
          <w:szCs w:val="24"/>
          <w:lang w:val="en-US" w:eastAsia="hu-HU"/>
        </w:rPr>
        <w:t>, the notified works or other subject matter, and made best efforts to prevent their future uploads in accordance with point (b).</w:t>
      </w:r>
      <w:r w:rsidR="00922CA7">
        <w:rPr>
          <w:rFonts w:asciiTheme="minorHAnsi" w:eastAsia="Times New Roman" w:hAnsiTheme="minorHAnsi" w:cstheme="minorHAnsi"/>
          <w:i/>
          <w:sz w:val="24"/>
          <w:szCs w:val="24"/>
          <w:lang w:val="en-US" w:eastAsia="hu-HU"/>
        </w:rPr>
        <w:t xml:space="preserve"> </w:t>
      </w:r>
      <w:r w:rsidR="00922CA7">
        <w:rPr>
          <w:rFonts w:asciiTheme="minorHAnsi" w:eastAsia="Times New Roman" w:hAnsiTheme="minorHAnsi" w:cstheme="minorHAnsi"/>
          <w:sz w:val="24"/>
          <w:szCs w:val="24"/>
          <w:lang w:val="en-US" w:eastAsia="hu-HU"/>
        </w:rPr>
        <w:t>(Emphasis added.)</w:t>
      </w:r>
    </w:p>
    <w:p w14:paraId="4291B854" w14:textId="6932D6E1" w:rsidR="00DF40CA" w:rsidRPr="00283BD7" w:rsidRDefault="002617F8" w:rsidP="002B2360">
      <w:pPr>
        <w:spacing w:before="100" w:beforeAutospacing="1" w:after="100" w:afterAutospacing="1"/>
        <w:jc w:val="both"/>
        <w:rPr>
          <w:rFonts w:asciiTheme="minorHAnsi" w:eastAsia="Times New Roman" w:hAnsiTheme="minorHAnsi" w:cstheme="minorHAnsi"/>
          <w:sz w:val="24"/>
          <w:szCs w:val="24"/>
          <w:lang w:val="en-US" w:eastAsia="hu-HU"/>
        </w:rPr>
      </w:pPr>
      <w:r w:rsidRPr="00283BD7">
        <w:rPr>
          <w:rFonts w:asciiTheme="minorHAnsi" w:eastAsia="Times New Roman" w:hAnsiTheme="minorHAnsi" w:cstheme="minorHAnsi"/>
          <w:sz w:val="24"/>
          <w:szCs w:val="24"/>
          <w:lang w:val="en-US" w:eastAsia="hu-HU"/>
        </w:rPr>
        <w:t>These provisions read together</w:t>
      </w:r>
      <w:r w:rsidR="00664ACF">
        <w:rPr>
          <w:rFonts w:asciiTheme="minorHAnsi" w:eastAsia="Times New Roman" w:hAnsiTheme="minorHAnsi" w:cstheme="minorHAnsi"/>
          <w:sz w:val="24"/>
          <w:szCs w:val="24"/>
          <w:lang w:val="en-US" w:eastAsia="hu-HU"/>
        </w:rPr>
        <w:t xml:space="preserve"> provide for</w:t>
      </w:r>
      <w:r w:rsidRPr="00283BD7">
        <w:rPr>
          <w:rFonts w:asciiTheme="minorHAnsi" w:eastAsia="Times New Roman" w:hAnsiTheme="minorHAnsi" w:cstheme="minorHAnsi"/>
          <w:sz w:val="24"/>
          <w:szCs w:val="24"/>
          <w:lang w:val="en-US" w:eastAsia="hu-HU"/>
        </w:rPr>
        <w:t xml:space="preserve"> a notice-and-stay down system</w:t>
      </w:r>
      <w:r w:rsidR="00021E03" w:rsidRPr="00283BD7">
        <w:rPr>
          <w:rFonts w:asciiTheme="minorHAnsi" w:eastAsia="Times New Roman" w:hAnsiTheme="minorHAnsi" w:cstheme="minorHAnsi"/>
          <w:sz w:val="24"/>
          <w:szCs w:val="24"/>
          <w:lang w:val="en-US" w:eastAsia="hu-HU"/>
        </w:rPr>
        <w:t xml:space="preserve"> which includes not only </w:t>
      </w:r>
      <w:r w:rsidR="00021E03" w:rsidRPr="00283BD7">
        <w:rPr>
          <w:rFonts w:asciiTheme="minorHAnsi" w:eastAsia="Times New Roman" w:hAnsiTheme="minorHAnsi" w:cstheme="minorHAnsi"/>
          <w:i/>
          <w:sz w:val="24"/>
          <w:szCs w:val="24"/>
          <w:lang w:val="en-US" w:eastAsia="hu-HU"/>
        </w:rPr>
        <w:t>post festa</w:t>
      </w:r>
      <w:r w:rsidR="00DF40CA" w:rsidRPr="00283BD7">
        <w:rPr>
          <w:rFonts w:asciiTheme="minorHAnsi" w:eastAsia="Times New Roman" w:hAnsiTheme="minorHAnsi" w:cstheme="minorHAnsi"/>
          <w:i/>
          <w:sz w:val="24"/>
          <w:szCs w:val="24"/>
          <w:lang w:val="en-US" w:eastAsia="hu-HU"/>
        </w:rPr>
        <w:t xml:space="preserve"> </w:t>
      </w:r>
      <w:r w:rsidR="00DF40CA" w:rsidRPr="00283BD7">
        <w:rPr>
          <w:rFonts w:asciiTheme="minorHAnsi" w:eastAsia="Times New Roman" w:hAnsiTheme="minorHAnsi" w:cstheme="minorHAnsi"/>
          <w:sz w:val="24"/>
          <w:szCs w:val="24"/>
          <w:lang w:val="en-US" w:eastAsia="hu-HU"/>
        </w:rPr>
        <w:t xml:space="preserve">measures to ensure </w:t>
      </w:r>
      <w:r w:rsidR="00DF40CA" w:rsidRPr="00283BD7">
        <w:rPr>
          <w:rFonts w:asciiTheme="minorHAnsi" w:eastAsia="Times New Roman" w:hAnsiTheme="minorHAnsi" w:cstheme="minorHAnsi"/>
          <w:i/>
          <w:sz w:val="24"/>
          <w:szCs w:val="24"/>
          <w:lang w:val="en-US" w:eastAsia="hu-HU"/>
        </w:rPr>
        <w:t>future</w:t>
      </w:r>
      <w:r w:rsidR="00DF40CA" w:rsidRPr="00283BD7">
        <w:rPr>
          <w:rFonts w:asciiTheme="minorHAnsi" w:eastAsia="Times New Roman" w:hAnsiTheme="minorHAnsi" w:cstheme="minorHAnsi"/>
          <w:sz w:val="24"/>
          <w:szCs w:val="24"/>
          <w:lang w:val="en-US" w:eastAsia="hu-HU"/>
        </w:rPr>
        <w:t xml:space="preserve"> unavailability of works and objects of related rights that had been made available without authorization but also “</w:t>
      </w:r>
      <w:r w:rsidR="00DF40CA" w:rsidRPr="00283BD7">
        <w:rPr>
          <w:rFonts w:asciiTheme="minorHAnsi" w:eastAsia="Times New Roman" w:hAnsiTheme="minorHAnsi" w:cstheme="minorHAnsi"/>
          <w:i/>
          <w:sz w:val="24"/>
          <w:szCs w:val="24"/>
          <w:lang w:val="en-US" w:eastAsia="hu-HU"/>
        </w:rPr>
        <w:t>to prevent their future uploads.</w:t>
      </w:r>
      <w:r w:rsidR="00DF40CA" w:rsidRPr="00283BD7">
        <w:rPr>
          <w:rFonts w:asciiTheme="minorHAnsi" w:eastAsia="Times New Roman" w:hAnsiTheme="minorHAnsi" w:cstheme="minorHAnsi"/>
          <w:sz w:val="24"/>
          <w:szCs w:val="24"/>
          <w:lang w:val="en-US" w:eastAsia="hu-HU"/>
        </w:rPr>
        <w:t xml:space="preserve">” </w:t>
      </w:r>
    </w:p>
    <w:p w14:paraId="6B5949B3" w14:textId="5E6A5EDC" w:rsidR="00DC0E52" w:rsidRPr="00283BD7" w:rsidRDefault="00DF40CA" w:rsidP="002B2360">
      <w:pPr>
        <w:spacing w:before="100" w:beforeAutospacing="1" w:after="100" w:afterAutospacing="1"/>
        <w:jc w:val="both"/>
        <w:rPr>
          <w:rFonts w:asciiTheme="minorHAnsi" w:eastAsia="Times New Roman" w:hAnsiTheme="minorHAnsi" w:cstheme="minorHAnsi"/>
          <w:sz w:val="24"/>
          <w:szCs w:val="24"/>
          <w:lang w:val="en-US" w:eastAsia="hu-HU"/>
        </w:rPr>
      </w:pPr>
      <w:r w:rsidRPr="00283BD7">
        <w:rPr>
          <w:rFonts w:asciiTheme="minorHAnsi" w:eastAsia="Times New Roman" w:hAnsiTheme="minorHAnsi" w:cstheme="minorHAnsi"/>
          <w:sz w:val="24"/>
          <w:szCs w:val="24"/>
          <w:lang w:val="en-US" w:eastAsia="hu-HU"/>
        </w:rPr>
        <w:t>It is hardly necessary to elaborate on the reasons for which the preventive/proactive – rather than just reactive – nature of the measures foreseen in points (b) and (c) is indispensable in the online environment. If a work or other protected content bec</w:t>
      </w:r>
      <w:r w:rsidR="00664ACF">
        <w:rPr>
          <w:rFonts w:asciiTheme="minorHAnsi" w:eastAsia="Times New Roman" w:hAnsiTheme="minorHAnsi" w:cstheme="minorHAnsi"/>
          <w:sz w:val="24"/>
          <w:szCs w:val="24"/>
          <w:lang w:val="en-US" w:eastAsia="hu-HU"/>
        </w:rPr>
        <w:t>omes</w:t>
      </w:r>
      <w:r w:rsidRPr="00283BD7">
        <w:rPr>
          <w:rFonts w:asciiTheme="minorHAnsi" w:eastAsia="Times New Roman" w:hAnsiTheme="minorHAnsi" w:cstheme="minorHAnsi"/>
          <w:sz w:val="24"/>
          <w:szCs w:val="24"/>
          <w:lang w:val="en-US" w:eastAsia="hu-HU"/>
        </w:rPr>
        <w:t xml:space="preserve"> available</w:t>
      </w:r>
      <w:r w:rsidR="00664ACF">
        <w:rPr>
          <w:rFonts w:asciiTheme="minorHAnsi" w:eastAsia="Times New Roman" w:hAnsiTheme="minorHAnsi" w:cstheme="minorHAnsi"/>
          <w:sz w:val="24"/>
          <w:szCs w:val="24"/>
          <w:lang w:val="en-US" w:eastAsia="hu-HU"/>
        </w:rPr>
        <w:t xml:space="preserve"> without authorization </w:t>
      </w:r>
      <w:r w:rsidRPr="00283BD7">
        <w:rPr>
          <w:rFonts w:asciiTheme="minorHAnsi" w:eastAsia="Times New Roman" w:hAnsiTheme="minorHAnsi" w:cstheme="minorHAnsi"/>
          <w:sz w:val="24"/>
          <w:szCs w:val="24"/>
          <w:lang w:val="en-US" w:eastAsia="hu-HU"/>
        </w:rPr>
        <w:t>– and in particular if it remain</w:t>
      </w:r>
      <w:r w:rsidR="00664ACF">
        <w:rPr>
          <w:rFonts w:asciiTheme="minorHAnsi" w:eastAsia="Times New Roman" w:hAnsiTheme="minorHAnsi" w:cstheme="minorHAnsi"/>
          <w:sz w:val="24"/>
          <w:szCs w:val="24"/>
          <w:lang w:val="en-US" w:eastAsia="hu-HU"/>
        </w:rPr>
        <w:t>s</w:t>
      </w:r>
      <w:r w:rsidRPr="00283BD7">
        <w:rPr>
          <w:rFonts w:asciiTheme="minorHAnsi" w:eastAsia="Times New Roman" w:hAnsiTheme="minorHAnsi" w:cstheme="minorHAnsi"/>
          <w:sz w:val="24"/>
          <w:szCs w:val="24"/>
          <w:lang w:val="en-US" w:eastAsia="hu-HU"/>
        </w:rPr>
        <w:t xml:space="preserve"> available without </w:t>
      </w:r>
      <w:r w:rsidR="00F37B23">
        <w:rPr>
          <w:rFonts w:asciiTheme="minorHAnsi" w:eastAsia="Times New Roman" w:hAnsiTheme="minorHAnsi" w:cstheme="minorHAnsi"/>
          <w:sz w:val="24"/>
          <w:szCs w:val="24"/>
          <w:lang w:val="en-US" w:eastAsia="hu-HU"/>
        </w:rPr>
        <w:t xml:space="preserve">being </w:t>
      </w:r>
      <w:r w:rsidRPr="00283BD7">
        <w:rPr>
          <w:rFonts w:asciiTheme="minorHAnsi" w:eastAsia="Times New Roman" w:hAnsiTheme="minorHAnsi" w:cstheme="minorHAnsi"/>
          <w:sz w:val="24"/>
          <w:szCs w:val="24"/>
          <w:lang w:val="en-US" w:eastAsia="hu-HU"/>
        </w:rPr>
        <w:t>promptly blocked or</w:t>
      </w:r>
      <w:r w:rsidR="00664ACF">
        <w:rPr>
          <w:rFonts w:asciiTheme="minorHAnsi" w:eastAsia="Times New Roman" w:hAnsiTheme="minorHAnsi" w:cstheme="minorHAnsi"/>
          <w:sz w:val="24"/>
          <w:szCs w:val="24"/>
          <w:lang w:val="en-US" w:eastAsia="hu-HU"/>
        </w:rPr>
        <w:t>,</w:t>
      </w:r>
      <w:r w:rsidRPr="00283BD7">
        <w:rPr>
          <w:rFonts w:asciiTheme="minorHAnsi" w:eastAsia="Times New Roman" w:hAnsiTheme="minorHAnsi" w:cstheme="minorHAnsi"/>
          <w:sz w:val="24"/>
          <w:szCs w:val="24"/>
          <w:lang w:val="en-US" w:eastAsia="hu-HU"/>
        </w:rPr>
        <w:t xml:space="preserve"> after block</w:t>
      </w:r>
      <w:r w:rsidR="00664ACF">
        <w:rPr>
          <w:rFonts w:asciiTheme="minorHAnsi" w:eastAsia="Times New Roman" w:hAnsiTheme="minorHAnsi" w:cstheme="minorHAnsi"/>
          <w:sz w:val="24"/>
          <w:szCs w:val="24"/>
          <w:lang w:val="en-US" w:eastAsia="hu-HU"/>
        </w:rPr>
        <w:t xml:space="preserve">ing, it </w:t>
      </w:r>
      <w:r w:rsidRPr="00283BD7">
        <w:rPr>
          <w:rFonts w:asciiTheme="minorHAnsi" w:eastAsia="Times New Roman" w:hAnsiTheme="minorHAnsi" w:cstheme="minorHAnsi"/>
          <w:sz w:val="24"/>
          <w:szCs w:val="24"/>
          <w:lang w:val="en-US" w:eastAsia="hu-HU"/>
        </w:rPr>
        <w:t xml:space="preserve">may be uploaded again </w:t>
      </w:r>
      <w:r w:rsidR="00DC0E52" w:rsidRPr="00283BD7">
        <w:rPr>
          <w:rFonts w:asciiTheme="minorHAnsi" w:eastAsia="Times New Roman" w:hAnsiTheme="minorHAnsi" w:cstheme="minorHAnsi"/>
          <w:sz w:val="24"/>
          <w:szCs w:val="24"/>
          <w:lang w:val="en-US" w:eastAsia="hu-HU"/>
        </w:rPr>
        <w:t xml:space="preserve">– due to the viral effect of online uses, within a very short time, </w:t>
      </w:r>
      <w:r w:rsidR="00664ACF">
        <w:rPr>
          <w:rFonts w:asciiTheme="minorHAnsi" w:eastAsia="Times New Roman" w:hAnsiTheme="minorHAnsi" w:cstheme="minorHAnsi"/>
          <w:sz w:val="24"/>
          <w:szCs w:val="24"/>
          <w:lang w:val="en-US" w:eastAsia="hu-HU"/>
        </w:rPr>
        <w:t>this</w:t>
      </w:r>
      <w:r w:rsidR="00DC0E52" w:rsidRPr="00283BD7">
        <w:rPr>
          <w:rFonts w:asciiTheme="minorHAnsi" w:eastAsia="Times New Roman" w:hAnsiTheme="minorHAnsi" w:cstheme="minorHAnsi"/>
          <w:sz w:val="24"/>
          <w:szCs w:val="24"/>
          <w:lang w:val="en-US" w:eastAsia="hu-HU"/>
        </w:rPr>
        <w:t xml:space="preserve"> may cause serious unjustified prejudice to the legitimate interests of rightholders and may also undermine the chance for normal exploitation of the works and other protected materials. </w:t>
      </w:r>
    </w:p>
    <w:p w14:paraId="5B6D5A67" w14:textId="41C55B03" w:rsidR="00EC586F" w:rsidRDefault="00DC0E52" w:rsidP="002B2360">
      <w:pPr>
        <w:spacing w:before="100" w:beforeAutospacing="1" w:after="100" w:afterAutospacing="1"/>
        <w:jc w:val="both"/>
        <w:rPr>
          <w:rFonts w:asciiTheme="minorHAnsi" w:eastAsia="Times New Roman" w:hAnsiTheme="minorHAnsi" w:cstheme="minorHAnsi"/>
          <w:sz w:val="24"/>
          <w:szCs w:val="24"/>
          <w:lang w:val="en-US" w:eastAsia="hu-HU"/>
        </w:rPr>
      </w:pPr>
      <w:r w:rsidRPr="00283BD7">
        <w:rPr>
          <w:rFonts w:asciiTheme="minorHAnsi" w:eastAsia="Times New Roman" w:hAnsiTheme="minorHAnsi" w:cstheme="minorHAnsi"/>
          <w:sz w:val="24"/>
          <w:szCs w:val="24"/>
          <w:lang w:val="en-US" w:eastAsia="hu-HU"/>
        </w:rPr>
        <w:t xml:space="preserve">The purpose of the complaint and redress mechanisms is to deal with the problem of possible </w:t>
      </w:r>
      <w:r w:rsidR="006C136F">
        <w:rPr>
          <w:rFonts w:asciiTheme="minorHAnsi" w:eastAsia="Times New Roman" w:hAnsiTheme="minorHAnsi" w:cstheme="minorHAnsi"/>
          <w:sz w:val="24"/>
          <w:szCs w:val="24"/>
          <w:lang w:val="en-US" w:eastAsia="hu-HU"/>
        </w:rPr>
        <w:t>“</w:t>
      </w:r>
      <w:r w:rsidRPr="00283BD7">
        <w:rPr>
          <w:rFonts w:asciiTheme="minorHAnsi" w:eastAsia="Times New Roman" w:hAnsiTheme="minorHAnsi" w:cstheme="minorHAnsi"/>
          <w:sz w:val="24"/>
          <w:szCs w:val="24"/>
          <w:lang w:val="en-US" w:eastAsia="hu-HU"/>
        </w:rPr>
        <w:t>over-blocking</w:t>
      </w:r>
      <w:r w:rsidR="006C136F">
        <w:rPr>
          <w:rFonts w:asciiTheme="minorHAnsi" w:eastAsia="Times New Roman" w:hAnsiTheme="minorHAnsi" w:cstheme="minorHAnsi"/>
          <w:sz w:val="24"/>
          <w:szCs w:val="24"/>
          <w:lang w:val="en-US" w:eastAsia="hu-HU"/>
        </w:rPr>
        <w:t>”</w:t>
      </w:r>
      <w:r w:rsidR="00283BD7" w:rsidRPr="00283BD7">
        <w:rPr>
          <w:rFonts w:asciiTheme="minorHAnsi" w:eastAsia="Times New Roman" w:hAnsiTheme="minorHAnsi" w:cstheme="minorHAnsi"/>
          <w:sz w:val="24"/>
          <w:szCs w:val="24"/>
          <w:lang w:val="en-US" w:eastAsia="hu-HU"/>
        </w:rPr>
        <w:t xml:space="preserve"> which m</w:t>
      </w:r>
      <w:r w:rsidR="00664ACF">
        <w:rPr>
          <w:rFonts w:asciiTheme="minorHAnsi" w:eastAsia="Times New Roman" w:hAnsiTheme="minorHAnsi" w:cstheme="minorHAnsi"/>
          <w:sz w:val="24"/>
          <w:szCs w:val="24"/>
          <w:lang w:val="en-US" w:eastAsia="hu-HU"/>
        </w:rPr>
        <w:t>ight happen</w:t>
      </w:r>
      <w:r w:rsidR="00283BD7" w:rsidRPr="00283BD7">
        <w:rPr>
          <w:rFonts w:asciiTheme="minorHAnsi" w:eastAsia="Times New Roman" w:hAnsiTheme="minorHAnsi" w:cstheme="minorHAnsi"/>
          <w:sz w:val="24"/>
          <w:szCs w:val="24"/>
          <w:lang w:val="en-US" w:eastAsia="hu-HU"/>
        </w:rPr>
        <w:t xml:space="preserve"> in </w:t>
      </w:r>
      <w:r w:rsidR="001357FA">
        <w:rPr>
          <w:rFonts w:asciiTheme="minorHAnsi" w:eastAsia="Times New Roman" w:hAnsiTheme="minorHAnsi" w:cstheme="minorHAnsi"/>
          <w:sz w:val="24"/>
          <w:szCs w:val="24"/>
          <w:lang w:val="en-US" w:eastAsia="hu-HU"/>
        </w:rPr>
        <w:t xml:space="preserve">the </w:t>
      </w:r>
      <w:r w:rsidR="00283BD7" w:rsidRPr="00283BD7">
        <w:rPr>
          <w:rFonts w:asciiTheme="minorHAnsi" w:eastAsia="Times New Roman" w:hAnsiTheme="minorHAnsi" w:cstheme="minorHAnsi"/>
          <w:sz w:val="24"/>
          <w:szCs w:val="24"/>
          <w:lang w:val="en-US" w:eastAsia="hu-HU"/>
        </w:rPr>
        <w:t xml:space="preserve">case of </w:t>
      </w:r>
      <w:r w:rsidRPr="00283BD7">
        <w:rPr>
          <w:rFonts w:asciiTheme="minorHAnsi" w:eastAsia="Times New Roman" w:hAnsiTheme="minorHAnsi" w:cstheme="minorHAnsi"/>
          <w:sz w:val="24"/>
          <w:szCs w:val="24"/>
          <w:lang w:val="en-US" w:eastAsia="hu-HU"/>
        </w:rPr>
        <w:t>apply</w:t>
      </w:r>
      <w:r w:rsidR="00283BD7" w:rsidRPr="00283BD7">
        <w:rPr>
          <w:rFonts w:asciiTheme="minorHAnsi" w:eastAsia="Times New Roman" w:hAnsiTheme="minorHAnsi" w:cstheme="minorHAnsi"/>
          <w:sz w:val="24"/>
          <w:szCs w:val="24"/>
          <w:lang w:val="en-US" w:eastAsia="hu-HU"/>
        </w:rPr>
        <w:t>ing</w:t>
      </w:r>
      <w:r w:rsidRPr="00283BD7">
        <w:rPr>
          <w:rFonts w:asciiTheme="minorHAnsi" w:eastAsia="Times New Roman" w:hAnsiTheme="minorHAnsi" w:cstheme="minorHAnsi"/>
          <w:sz w:val="24"/>
          <w:szCs w:val="24"/>
          <w:lang w:val="en-US" w:eastAsia="hu-HU"/>
        </w:rPr>
        <w:t xml:space="preserve"> the system of notice-and-stay</w:t>
      </w:r>
      <w:r w:rsidR="00283BD7" w:rsidRPr="00283BD7">
        <w:rPr>
          <w:rFonts w:asciiTheme="minorHAnsi" w:eastAsia="Times New Roman" w:hAnsiTheme="minorHAnsi" w:cstheme="minorHAnsi"/>
          <w:sz w:val="24"/>
          <w:szCs w:val="24"/>
          <w:lang w:val="en-US" w:eastAsia="hu-HU"/>
        </w:rPr>
        <w:t>-</w:t>
      </w:r>
      <w:r w:rsidRPr="00283BD7">
        <w:rPr>
          <w:rFonts w:asciiTheme="minorHAnsi" w:eastAsia="Times New Roman" w:hAnsiTheme="minorHAnsi" w:cstheme="minorHAnsi"/>
          <w:sz w:val="24"/>
          <w:szCs w:val="24"/>
          <w:lang w:val="en-US" w:eastAsia="hu-HU"/>
        </w:rPr>
        <w:t>down not only where it is necessary to eliminate and prevent infringements, but also where there is no infringement for some reasons, in particular whe</w:t>
      </w:r>
      <w:r w:rsidR="00664ACF">
        <w:rPr>
          <w:rFonts w:asciiTheme="minorHAnsi" w:eastAsia="Times New Roman" w:hAnsiTheme="minorHAnsi" w:cstheme="minorHAnsi"/>
          <w:sz w:val="24"/>
          <w:szCs w:val="24"/>
          <w:lang w:val="en-US" w:eastAsia="hu-HU"/>
        </w:rPr>
        <w:t>re</w:t>
      </w:r>
      <w:r w:rsidRPr="00283BD7">
        <w:rPr>
          <w:rFonts w:asciiTheme="minorHAnsi" w:eastAsia="Times New Roman" w:hAnsiTheme="minorHAnsi" w:cstheme="minorHAnsi"/>
          <w:sz w:val="24"/>
          <w:szCs w:val="24"/>
          <w:lang w:val="en-US" w:eastAsia="hu-HU"/>
        </w:rPr>
        <w:t xml:space="preserve"> exceptions and limitations are applicable </w:t>
      </w:r>
      <w:r w:rsidR="00283BD7" w:rsidRPr="00283BD7">
        <w:rPr>
          <w:rFonts w:asciiTheme="minorHAnsi" w:eastAsia="Times New Roman" w:hAnsiTheme="minorHAnsi" w:cstheme="minorHAnsi"/>
          <w:sz w:val="24"/>
          <w:szCs w:val="24"/>
          <w:lang w:val="en-US" w:eastAsia="hu-HU"/>
        </w:rPr>
        <w:t>with special attention to those provided in the Information Society Directive, subject to the three-step test</w:t>
      </w:r>
      <w:r w:rsidR="00664ACF">
        <w:rPr>
          <w:rFonts w:asciiTheme="minorHAnsi" w:eastAsia="Times New Roman" w:hAnsiTheme="minorHAnsi" w:cstheme="minorHAnsi"/>
          <w:sz w:val="24"/>
          <w:szCs w:val="24"/>
          <w:lang w:val="en-US" w:eastAsia="hu-HU"/>
        </w:rPr>
        <w:t>,</w:t>
      </w:r>
      <w:r w:rsidR="00283BD7" w:rsidRPr="00283BD7">
        <w:rPr>
          <w:rFonts w:asciiTheme="minorHAnsi" w:eastAsia="Times New Roman" w:hAnsiTheme="minorHAnsi" w:cstheme="minorHAnsi"/>
          <w:sz w:val="24"/>
          <w:szCs w:val="24"/>
          <w:lang w:val="en-US" w:eastAsia="hu-HU"/>
        </w:rPr>
        <w:t xml:space="preserve"> to protect the freedom of expression listed in the second subparagraph of Article </w:t>
      </w:r>
      <w:r w:rsidR="002B0180">
        <w:rPr>
          <w:rFonts w:asciiTheme="minorHAnsi" w:eastAsia="Times New Roman" w:hAnsiTheme="minorHAnsi" w:cstheme="minorHAnsi"/>
          <w:sz w:val="24"/>
          <w:szCs w:val="24"/>
          <w:lang w:val="en-US" w:eastAsia="hu-HU"/>
        </w:rPr>
        <w:t>1</w:t>
      </w:r>
      <w:r w:rsidR="00283BD7" w:rsidRPr="00283BD7">
        <w:rPr>
          <w:rFonts w:asciiTheme="minorHAnsi" w:eastAsia="Times New Roman" w:hAnsiTheme="minorHAnsi" w:cstheme="minorHAnsi"/>
          <w:sz w:val="24"/>
          <w:szCs w:val="24"/>
          <w:lang w:val="en-US" w:eastAsia="hu-HU"/>
        </w:rPr>
        <w:t xml:space="preserve">7(7). </w:t>
      </w:r>
      <w:r w:rsidRPr="00283BD7">
        <w:rPr>
          <w:rFonts w:asciiTheme="minorHAnsi" w:eastAsia="Times New Roman" w:hAnsiTheme="minorHAnsi" w:cstheme="minorHAnsi"/>
          <w:sz w:val="24"/>
          <w:szCs w:val="24"/>
          <w:lang w:val="en-US" w:eastAsia="hu-HU"/>
        </w:rPr>
        <w:t xml:space="preserve"> </w:t>
      </w:r>
      <w:r w:rsidR="006C136F">
        <w:rPr>
          <w:rFonts w:asciiTheme="minorHAnsi" w:eastAsia="Times New Roman" w:hAnsiTheme="minorHAnsi" w:cstheme="minorHAnsi"/>
          <w:sz w:val="24"/>
          <w:szCs w:val="24"/>
          <w:lang w:val="en-US" w:eastAsia="hu-HU"/>
        </w:rPr>
        <w:t xml:space="preserve">Since it is applicable where the contents uploaded by the users are blocked or removed as a preventive measure, it should be truly effective and expeditious. If it is (and it </w:t>
      </w:r>
      <w:r w:rsidR="00664ACF">
        <w:rPr>
          <w:rFonts w:asciiTheme="minorHAnsi" w:eastAsia="Times New Roman" w:hAnsiTheme="minorHAnsi" w:cstheme="minorHAnsi"/>
          <w:sz w:val="24"/>
          <w:szCs w:val="24"/>
          <w:lang w:val="en-US" w:eastAsia="hu-HU"/>
        </w:rPr>
        <w:t>should be</w:t>
      </w:r>
      <w:r w:rsidR="006C136F">
        <w:rPr>
          <w:rFonts w:asciiTheme="minorHAnsi" w:eastAsia="Times New Roman" w:hAnsiTheme="minorHAnsi" w:cstheme="minorHAnsi"/>
          <w:sz w:val="24"/>
          <w:szCs w:val="24"/>
          <w:lang w:val="en-US" w:eastAsia="hu-HU"/>
        </w:rPr>
        <w:t xml:space="preserve">) so, it will guarantee the availability of non-infringing contents without any true delay. </w:t>
      </w:r>
      <w:r w:rsidR="00EC586F">
        <w:rPr>
          <w:rFonts w:asciiTheme="minorHAnsi" w:eastAsia="Times New Roman" w:hAnsiTheme="minorHAnsi" w:cstheme="minorHAnsi"/>
          <w:sz w:val="24"/>
          <w:szCs w:val="24"/>
          <w:lang w:val="en-US" w:eastAsia="hu-HU"/>
        </w:rPr>
        <w:t xml:space="preserve">Although it may create some prejudice that, let us say, a parody is not available for a day or two, the level of unreasonableness is certainly justified if compared with the prejudice </w:t>
      </w:r>
      <w:r w:rsidR="00664ACF">
        <w:rPr>
          <w:rFonts w:asciiTheme="minorHAnsi" w:eastAsia="Times New Roman" w:hAnsiTheme="minorHAnsi" w:cstheme="minorHAnsi"/>
          <w:sz w:val="24"/>
          <w:szCs w:val="24"/>
          <w:lang w:val="en-US" w:eastAsia="hu-HU"/>
        </w:rPr>
        <w:t xml:space="preserve">that may be </w:t>
      </w:r>
      <w:r w:rsidR="00EC586F">
        <w:rPr>
          <w:rFonts w:asciiTheme="minorHAnsi" w:eastAsia="Times New Roman" w:hAnsiTheme="minorHAnsi" w:cstheme="minorHAnsi"/>
          <w:sz w:val="24"/>
          <w:szCs w:val="24"/>
          <w:lang w:val="en-US" w:eastAsia="hu-HU"/>
        </w:rPr>
        <w:t xml:space="preserve">caused to the rightholders if their works remain available without authorization for the same period to the “tiny” internet population of cca. 4.5 billion </w:t>
      </w:r>
      <w:r w:rsidR="00544DB9">
        <w:rPr>
          <w:rFonts w:asciiTheme="minorHAnsi" w:eastAsia="Times New Roman" w:hAnsiTheme="minorHAnsi" w:cstheme="minorHAnsi"/>
          <w:sz w:val="24"/>
          <w:szCs w:val="24"/>
          <w:lang w:val="en-US" w:eastAsia="hu-HU"/>
        </w:rPr>
        <w:t xml:space="preserve">possible </w:t>
      </w:r>
      <w:r w:rsidR="00EC586F">
        <w:rPr>
          <w:rFonts w:asciiTheme="minorHAnsi" w:eastAsia="Times New Roman" w:hAnsiTheme="minorHAnsi" w:cstheme="minorHAnsi"/>
          <w:sz w:val="24"/>
          <w:szCs w:val="24"/>
          <w:lang w:val="en-US" w:eastAsia="hu-HU"/>
        </w:rPr>
        <w:t>users</w:t>
      </w:r>
      <w:r w:rsidR="00B34A74">
        <w:rPr>
          <w:rFonts w:asciiTheme="minorHAnsi" w:eastAsia="Times New Roman" w:hAnsiTheme="minorHAnsi" w:cstheme="minorHAnsi"/>
          <w:sz w:val="24"/>
          <w:szCs w:val="24"/>
          <w:lang w:val="en-US" w:eastAsia="hu-HU"/>
        </w:rPr>
        <w:t xml:space="preserve"> in those cases where the application of no exception is justified</w:t>
      </w:r>
      <w:r w:rsidR="00EC586F">
        <w:rPr>
          <w:rFonts w:asciiTheme="minorHAnsi" w:eastAsia="Times New Roman" w:hAnsiTheme="minorHAnsi" w:cstheme="minorHAnsi"/>
          <w:sz w:val="24"/>
          <w:szCs w:val="24"/>
          <w:lang w:val="en-US" w:eastAsia="hu-HU"/>
        </w:rPr>
        <w:t xml:space="preserve"> </w:t>
      </w:r>
    </w:p>
    <w:p w14:paraId="0D31FD5C" w14:textId="344DA1EF" w:rsidR="007C2001" w:rsidRDefault="00EC586F" w:rsidP="002B2360">
      <w:pPr>
        <w:spacing w:before="100" w:beforeAutospacing="1" w:after="100" w:afterAutospacing="1"/>
        <w:jc w:val="both"/>
        <w:rPr>
          <w:rFonts w:asciiTheme="minorHAnsi" w:eastAsia="Times New Roman" w:hAnsiTheme="minorHAnsi" w:cstheme="minorHAnsi"/>
          <w:sz w:val="24"/>
          <w:szCs w:val="24"/>
          <w:lang w:val="en-US" w:eastAsia="hu-HU"/>
        </w:rPr>
      </w:pPr>
      <w:r>
        <w:rPr>
          <w:rFonts w:asciiTheme="minorHAnsi" w:eastAsia="Times New Roman" w:hAnsiTheme="minorHAnsi" w:cstheme="minorHAnsi"/>
          <w:sz w:val="24"/>
          <w:szCs w:val="24"/>
          <w:lang w:val="en-US" w:eastAsia="hu-HU"/>
        </w:rPr>
        <w:t xml:space="preserve">Therefore, it is understandable – since it is indispensable for establishing reasonable balance of </w:t>
      </w:r>
      <w:r w:rsidR="00664ACF">
        <w:rPr>
          <w:rFonts w:asciiTheme="minorHAnsi" w:eastAsia="Times New Roman" w:hAnsiTheme="minorHAnsi" w:cstheme="minorHAnsi"/>
          <w:sz w:val="24"/>
          <w:szCs w:val="24"/>
          <w:lang w:val="en-US" w:eastAsia="hu-HU"/>
        </w:rPr>
        <w:t xml:space="preserve">the </w:t>
      </w:r>
      <w:r>
        <w:rPr>
          <w:rFonts w:asciiTheme="minorHAnsi" w:eastAsia="Times New Roman" w:hAnsiTheme="minorHAnsi" w:cstheme="minorHAnsi"/>
          <w:sz w:val="24"/>
          <w:szCs w:val="24"/>
          <w:lang w:val="en-US" w:eastAsia="hu-HU"/>
        </w:rPr>
        <w:t>legitimate interests</w:t>
      </w:r>
      <w:r w:rsidR="00A670B9">
        <w:rPr>
          <w:rFonts w:asciiTheme="minorHAnsi" w:eastAsia="Times New Roman" w:hAnsiTheme="minorHAnsi" w:cstheme="minorHAnsi"/>
          <w:sz w:val="24"/>
          <w:szCs w:val="24"/>
          <w:lang w:val="en-US" w:eastAsia="hu-HU"/>
        </w:rPr>
        <w:t xml:space="preserve"> – that under the provisions of Article 17, the OCSSPs must first take the </w:t>
      </w:r>
      <w:r w:rsidR="00A670B9" w:rsidRPr="0016556E">
        <w:rPr>
          <w:rFonts w:asciiTheme="minorHAnsi" w:eastAsia="Times New Roman" w:hAnsiTheme="minorHAnsi" w:cstheme="minorHAnsi"/>
          <w:i/>
          <w:sz w:val="24"/>
          <w:szCs w:val="24"/>
          <w:lang w:val="en-US" w:eastAsia="hu-HU"/>
        </w:rPr>
        <w:t>preventive</w:t>
      </w:r>
      <w:r w:rsidR="00A670B9">
        <w:rPr>
          <w:rFonts w:asciiTheme="minorHAnsi" w:eastAsia="Times New Roman" w:hAnsiTheme="minorHAnsi" w:cstheme="minorHAnsi"/>
          <w:sz w:val="24"/>
          <w:szCs w:val="24"/>
          <w:lang w:val="en-US" w:eastAsia="hu-HU"/>
        </w:rPr>
        <w:t xml:space="preserve"> measures asked for by rightholders and the complaint and redress mechanism may be applied after th</w:t>
      </w:r>
      <w:r w:rsidR="00664ACF">
        <w:rPr>
          <w:rFonts w:asciiTheme="minorHAnsi" w:eastAsia="Times New Roman" w:hAnsiTheme="minorHAnsi" w:cstheme="minorHAnsi"/>
          <w:sz w:val="24"/>
          <w:szCs w:val="24"/>
          <w:lang w:val="en-US" w:eastAsia="hu-HU"/>
        </w:rPr>
        <w:t>at</w:t>
      </w:r>
      <w:r w:rsidR="00A670B9">
        <w:rPr>
          <w:rFonts w:asciiTheme="minorHAnsi" w:eastAsia="Times New Roman" w:hAnsiTheme="minorHAnsi" w:cstheme="minorHAnsi"/>
          <w:sz w:val="24"/>
          <w:szCs w:val="24"/>
          <w:lang w:val="en-US" w:eastAsia="hu-HU"/>
        </w:rPr>
        <w:t xml:space="preserve">. This </w:t>
      </w:r>
      <w:r w:rsidR="0016556E">
        <w:rPr>
          <w:rFonts w:asciiTheme="minorHAnsi" w:eastAsia="Times New Roman" w:hAnsiTheme="minorHAnsi" w:cstheme="minorHAnsi"/>
          <w:sz w:val="24"/>
          <w:szCs w:val="24"/>
          <w:lang w:val="en-US" w:eastAsia="hu-HU"/>
        </w:rPr>
        <w:t xml:space="preserve">follows from the </w:t>
      </w:r>
      <w:r w:rsidR="007C2001">
        <w:rPr>
          <w:rFonts w:asciiTheme="minorHAnsi" w:eastAsia="Times New Roman" w:hAnsiTheme="minorHAnsi" w:cstheme="minorHAnsi"/>
          <w:sz w:val="24"/>
          <w:szCs w:val="24"/>
          <w:lang w:val="en-US" w:eastAsia="hu-HU"/>
        </w:rPr>
        <w:t xml:space="preserve">plain </w:t>
      </w:r>
      <w:r w:rsidR="00A670B9">
        <w:rPr>
          <w:rFonts w:asciiTheme="minorHAnsi" w:eastAsia="Times New Roman" w:hAnsiTheme="minorHAnsi" w:cstheme="minorHAnsi"/>
          <w:sz w:val="24"/>
          <w:szCs w:val="24"/>
          <w:lang w:val="en-US" w:eastAsia="hu-HU"/>
        </w:rPr>
        <w:t>ordinary meaning of “complaint” by users and “redress”</w:t>
      </w:r>
      <w:r w:rsidR="007C2001">
        <w:rPr>
          <w:rFonts w:asciiTheme="minorHAnsi" w:eastAsia="Times New Roman" w:hAnsiTheme="minorHAnsi" w:cstheme="minorHAnsi"/>
          <w:sz w:val="24"/>
          <w:szCs w:val="24"/>
          <w:lang w:val="en-US" w:eastAsia="hu-HU"/>
        </w:rPr>
        <w:t xml:space="preserve"> something</w:t>
      </w:r>
      <w:r w:rsidR="00A670B9">
        <w:rPr>
          <w:rFonts w:asciiTheme="minorHAnsi" w:eastAsia="Times New Roman" w:hAnsiTheme="minorHAnsi" w:cstheme="minorHAnsi"/>
          <w:sz w:val="24"/>
          <w:szCs w:val="24"/>
          <w:lang w:val="en-US" w:eastAsia="hu-HU"/>
        </w:rPr>
        <w:t xml:space="preserve">. If an upload is not blocked or removed yet, there is no reason </w:t>
      </w:r>
      <w:r w:rsidR="00664ACF">
        <w:rPr>
          <w:rFonts w:asciiTheme="minorHAnsi" w:eastAsia="Times New Roman" w:hAnsiTheme="minorHAnsi" w:cstheme="minorHAnsi"/>
          <w:sz w:val="24"/>
          <w:szCs w:val="24"/>
          <w:lang w:val="en-US" w:eastAsia="hu-HU"/>
        </w:rPr>
        <w:t xml:space="preserve">yet </w:t>
      </w:r>
      <w:r w:rsidR="00A670B9">
        <w:rPr>
          <w:rFonts w:asciiTheme="minorHAnsi" w:eastAsia="Times New Roman" w:hAnsiTheme="minorHAnsi" w:cstheme="minorHAnsi"/>
          <w:sz w:val="24"/>
          <w:szCs w:val="24"/>
          <w:lang w:val="en-US" w:eastAsia="hu-HU"/>
        </w:rPr>
        <w:t xml:space="preserve">to complain for something and </w:t>
      </w:r>
      <w:r w:rsidR="0016556E">
        <w:rPr>
          <w:rFonts w:asciiTheme="minorHAnsi" w:eastAsia="Times New Roman" w:hAnsiTheme="minorHAnsi" w:cstheme="minorHAnsi"/>
          <w:sz w:val="24"/>
          <w:szCs w:val="24"/>
          <w:lang w:val="en-US" w:eastAsia="hu-HU"/>
        </w:rPr>
        <w:t xml:space="preserve">to “redress” (to correct) something.  </w:t>
      </w:r>
      <w:r w:rsidR="00A670B9">
        <w:rPr>
          <w:rFonts w:asciiTheme="minorHAnsi" w:eastAsia="Times New Roman" w:hAnsiTheme="minorHAnsi" w:cstheme="minorHAnsi"/>
          <w:sz w:val="24"/>
          <w:szCs w:val="24"/>
          <w:lang w:val="en-US" w:eastAsia="hu-HU"/>
        </w:rPr>
        <w:t xml:space="preserve">   </w:t>
      </w:r>
      <w:r>
        <w:rPr>
          <w:rFonts w:asciiTheme="minorHAnsi" w:eastAsia="Times New Roman" w:hAnsiTheme="minorHAnsi" w:cstheme="minorHAnsi"/>
          <w:sz w:val="24"/>
          <w:szCs w:val="24"/>
          <w:lang w:val="en-US" w:eastAsia="hu-HU"/>
        </w:rPr>
        <w:t xml:space="preserve"> </w:t>
      </w:r>
    </w:p>
    <w:p w14:paraId="51D16107" w14:textId="77777777" w:rsidR="00C93B48" w:rsidRDefault="007C2001" w:rsidP="002B2360">
      <w:pPr>
        <w:spacing w:before="100" w:beforeAutospacing="1" w:after="100" w:afterAutospacing="1"/>
        <w:jc w:val="both"/>
        <w:rPr>
          <w:rFonts w:asciiTheme="minorHAnsi" w:eastAsia="Times New Roman" w:hAnsiTheme="minorHAnsi" w:cstheme="minorHAnsi"/>
          <w:sz w:val="24"/>
          <w:szCs w:val="24"/>
          <w:lang w:val="en-US" w:eastAsia="hu-HU"/>
        </w:rPr>
      </w:pPr>
      <w:r>
        <w:rPr>
          <w:rFonts w:asciiTheme="minorHAnsi" w:eastAsia="Times New Roman" w:hAnsiTheme="minorHAnsi" w:cstheme="minorHAnsi"/>
          <w:sz w:val="24"/>
          <w:szCs w:val="24"/>
          <w:lang w:val="en-US" w:eastAsia="hu-HU"/>
        </w:rPr>
        <w:t xml:space="preserve">However, </w:t>
      </w:r>
      <w:r w:rsidR="004533AA">
        <w:rPr>
          <w:rFonts w:asciiTheme="minorHAnsi" w:eastAsia="Times New Roman" w:hAnsiTheme="minorHAnsi" w:cstheme="minorHAnsi"/>
          <w:sz w:val="24"/>
          <w:szCs w:val="24"/>
          <w:lang w:val="en-US" w:eastAsia="hu-HU"/>
        </w:rPr>
        <w:t xml:space="preserve">all this follows not only from the validity of this kind of literal, </w:t>
      </w:r>
      <w:r w:rsidR="006A329D">
        <w:rPr>
          <w:rFonts w:asciiTheme="minorHAnsi" w:eastAsia="Times New Roman" w:hAnsiTheme="minorHAnsi" w:cstheme="minorHAnsi"/>
          <w:sz w:val="24"/>
          <w:szCs w:val="24"/>
          <w:lang w:val="en-US" w:eastAsia="hu-HU"/>
        </w:rPr>
        <w:t xml:space="preserve">systematic </w:t>
      </w:r>
      <w:r w:rsidR="004533AA">
        <w:rPr>
          <w:rFonts w:asciiTheme="minorHAnsi" w:eastAsia="Times New Roman" w:hAnsiTheme="minorHAnsi" w:cstheme="minorHAnsi"/>
          <w:sz w:val="24"/>
          <w:szCs w:val="24"/>
          <w:lang w:val="en-US" w:eastAsia="hu-HU"/>
        </w:rPr>
        <w:t>and teleo</w:t>
      </w:r>
      <w:r w:rsidR="00B32605">
        <w:rPr>
          <w:rFonts w:asciiTheme="minorHAnsi" w:eastAsia="Times New Roman" w:hAnsiTheme="minorHAnsi" w:cstheme="minorHAnsi"/>
          <w:sz w:val="24"/>
          <w:szCs w:val="24"/>
          <w:lang w:val="en-US" w:eastAsia="hu-HU"/>
        </w:rPr>
        <w:t>lo</w:t>
      </w:r>
      <w:r w:rsidR="004533AA">
        <w:rPr>
          <w:rFonts w:asciiTheme="minorHAnsi" w:eastAsia="Times New Roman" w:hAnsiTheme="minorHAnsi" w:cstheme="minorHAnsi"/>
          <w:sz w:val="24"/>
          <w:szCs w:val="24"/>
          <w:lang w:val="en-US" w:eastAsia="hu-HU"/>
        </w:rPr>
        <w:t>gical</w:t>
      </w:r>
      <w:r w:rsidR="00B32605">
        <w:rPr>
          <w:rFonts w:asciiTheme="minorHAnsi" w:eastAsia="Times New Roman" w:hAnsiTheme="minorHAnsi" w:cstheme="minorHAnsi"/>
          <w:sz w:val="24"/>
          <w:szCs w:val="24"/>
          <w:lang w:val="en-US" w:eastAsia="hu-HU"/>
        </w:rPr>
        <w:t xml:space="preserve"> interpretation</w:t>
      </w:r>
      <w:r w:rsidR="00664ACF">
        <w:rPr>
          <w:rFonts w:asciiTheme="minorHAnsi" w:eastAsia="Times New Roman" w:hAnsiTheme="minorHAnsi" w:cstheme="minorHAnsi"/>
          <w:sz w:val="24"/>
          <w:szCs w:val="24"/>
          <w:lang w:val="en-US" w:eastAsia="hu-HU"/>
        </w:rPr>
        <w:t>,</w:t>
      </w:r>
      <w:r w:rsidR="00B32605">
        <w:rPr>
          <w:rFonts w:asciiTheme="minorHAnsi" w:eastAsia="Times New Roman" w:hAnsiTheme="minorHAnsi" w:cstheme="minorHAnsi"/>
          <w:sz w:val="24"/>
          <w:szCs w:val="24"/>
          <w:lang w:val="en-US" w:eastAsia="hu-HU"/>
        </w:rPr>
        <w:t xml:space="preserve"> but it is also explicitly confirmed in </w:t>
      </w:r>
      <w:r w:rsidR="00C93B48">
        <w:rPr>
          <w:rFonts w:asciiTheme="minorHAnsi" w:eastAsia="Times New Roman" w:hAnsiTheme="minorHAnsi" w:cstheme="minorHAnsi"/>
          <w:sz w:val="24"/>
          <w:szCs w:val="24"/>
          <w:lang w:val="en-US" w:eastAsia="hu-HU"/>
        </w:rPr>
        <w:t xml:space="preserve">the second subparagraph of recital (70) of the Directive in this way: </w:t>
      </w:r>
    </w:p>
    <w:p w14:paraId="688422A1" w14:textId="77777777" w:rsidR="00DF40CA" w:rsidRPr="00C93B48" w:rsidRDefault="00C93B48" w:rsidP="00C93B48">
      <w:pPr>
        <w:ind w:left="567"/>
        <w:jc w:val="both"/>
        <w:rPr>
          <w:rFonts w:asciiTheme="minorHAnsi" w:eastAsia="Times New Roman" w:hAnsiTheme="minorHAnsi" w:cstheme="minorHAnsi"/>
          <w:sz w:val="24"/>
          <w:szCs w:val="24"/>
          <w:lang w:val="en-US" w:eastAsia="hu-HU"/>
        </w:rPr>
      </w:pPr>
      <w:r w:rsidRPr="00C93B48">
        <w:rPr>
          <w:rFonts w:asciiTheme="minorHAnsi" w:eastAsia="Times New Roman" w:hAnsiTheme="minorHAnsi" w:cstheme="minorHAnsi"/>
          <w:sz w:val="24"/>
          <w:szCs w:val="24"/>
          <w:lang w:val="en-US" w:eastAsia="hu-HU"/>
        </w:rPr>
        <w:t xml:space="preserve">Online content-sharing service providers should also put in place effective and expeditious complaint and redress mechanisms allowing users </w:t>
      </w:r>
      <w:r w:rsidRPr="00C93B48">
        <w:rPr>
          <w:rFonts w:asciiTheme="minorHAnsi" w:eastAsia="Times New Roman" w:hAnsiTheme="minorHAnsi" w:cstheme="minorHAnsi"/>
          <w:i/>
          <w:sz w:val="24"/>
          <w:szCs w:val="24"/>
          <w:lang w:val="en-US" w:eastAsia="hu-HU"/>
        </w:rPr>
        <w:t xml:space="preserve">to complain about </w:t>
      </w:r>
      <w:r w:rsidRPr="00544DB9">
        <w:rPr>
          <w:rFonts w:asciiTheme="minorHAnsi" w:eastAsia="Times New Roman" w:hAnsiTheme="minorHAnsi" w:cstheme="minorHAnsi"/>
          <w:i/>
          <w:sz w:val="24"/>
          <w:szCs w:val="24"/>
          <w:u w:val="single"/>
          <w:lang w:val="en-US" w:eastAsia="hu-HU"/>
        </w:rPr>
        <w:t>the steps taken</w:t>
      </w:r>
      <w:r w:rsidRPr="00C93B48">
        <w:rPr>
          <w:rFonts w:asciiTheme="minorHAnsi" w:eastAsia="Times New Roman" w:hAnsiTheme="minorHAnsi" w:cstheme="minorHAnsi"/>
          <w:sz w:val="24"/>
          <w:szCs w:val="24"/>
          <w:lang w:val="en-US" w:eastAsia="hu-HU"/>
        </w:rPr>
        <w:t xml:space="preserve"> with regard to their uploads, in particular where they could benefit from an exception or limitation to copyright </w:t>
      </w:r>
      <w:r w:rsidRPr="00C93B48">
        <w:rPr>
          <w:rFonts w:asciiTheme="minorHAnsi" w:eastAsia="Times New Roman" w:hAnsiTheme="minorHAnsi" w:cstheme="minorHAnsi"/>
          <w:i/>
          <w:sz w:val="24"/>
          <w:szCs w:val="24"/>
          <w:lang w:val="en-US" w:eastAsia="hu-HU"/>
        </w:rPr>
        <w:t xml:space="preserve">in relation to an upload to which access </w:t>
      </w:r>
      <w:r w:rsidRPr="00544DB9">
        <w:rPr>
          <w:rFonts w:asciiTheme="minorHAnsi" w:eastAsia="Times New Roman" w:hAnsiTheme="minorHAnsi" w:cstheme="minorHAnsi"/>
          <w:i/>
          <w:sz w:val="24"/>
          <w:szCs w:val="24"/>
          <w:u w:val="single"/>
          <w:lang w:val="en-US" w:eastAsia="hu-HU"/>
        </w:rPr>
        <w:t>has been disabled</w:t>
      </w:r>
      <w:r w:rsidRPr="00C93B48">
        <w:rPr>
          <w:rFonts w:asciiTheme="minorHAnsi" w:eastAsia="Times New Roman" w:hAnsiTheme="minorHAnsi" w:cstheme="minorHAnsi"/>
          <w:i/>
          <w:sz w:val="24"/>
          <w:szCs w:val="24"/>
          <w:lang w:val="en-US" w:eastAsia="hu-HU"/>
        </w:rPr>
        <w:t xml:space="preserve"> or that </w:t>
      </w:r>
      <w:r w:rsidRPr="00544DB9">
        <w:rPr>
          <w:rFonts w:asciiTheme="minorHAnsi" w:eastAsia="Times New Roman" w:hAnsiTheme="minorHAnsi" w:cstheme="minorHAnsi"/>
          <w:i/>
          <w:sz w:val="24"/>
          <w:szCs w:val="24"/>
          <w:u w:val="single"/>
          <w:lang w:val="en-US" w:eastAsia="hu-HU"/>
        </w:rPr>
        <w:t>has been removed</w:t>
      </w:r>
      <w:r w:rsidRPr="00C93B48">
        <w:rPr>
          <w:rFonts w:asciiTheme="minorHAnsi" w:eastAsia="Times New Roman" w:hAnsiTheme="minorHAnsi" w:cstheme="minorHAnsi"/>
          <w:sz w:val="24"/>
          <w:szCs w:val="24"/>
          <w:lang w:val="en-US" w:eastAsia="hu-HU"/>
        </w:rPr>
        <w:t xml:space="preserve">.  </w:t>
      </w:r>
      <w:r>
        <w:rPr>
          <w:rFonts w:asciiTheme="minorHAnsi" w:eastAsia="Times New Roman" w:hAnsiTheme="minorHAnsi" w:cstheme="minorHAnsi"/>
          <w:sz w:val="24"/>
          <w:szCs w:val="24"/>
          <w:lang w:val="en-US" w:eastAsia="hu-HU"/>
        </w:rPr>
        <w:t xml:space="preserve">(Exception covered.) </w:t>
      </w:r>
      <w:r w:rsidR="004533AA" w:rsidRPr="00C93B48">
        <w:rPr>
          <w:rFonts w:asciiTheme="minorHAnsi" w:eastAsia="Times New Roman" w:hAnsiTheme="minorHAnsi" w:cstheme="minorHAnsi"/>
          <w:sz w:val="24"/>
          <w:szCs w:val="24"/>
          <w:lang w:val="en-US" w:eastAsia="hu-HU"/>
        </w:rPr>
        <w:t xml:space="preserve"> </w:t>
      </w:r>
      <w:r w:rsidR="00EC586F" w:rsidRPr="00C93B48">
        <w:rPr>
          <w:rFonts w:asciiTheme="minorHAnsi" w:eastAsia="Times New Roman" w:hAnsiTheme="minorHAnsi" w:cstheme="minorHAnsi"/>
          <w:sz w:val="24"/>
          <w:szCs w:val="24"/>
          <w:lang w:val="en-US" w:eastAsia="hu-HU"/>
        </w:rPr>
        <w:t xml:space="preserve">         </w:t>
      </w:r>
      <w:r w:rsidR="006C136F" w:rsidRPr="00C93B48">
        <w:rPr>
          <w:rFonts w:asciiTheme="minorHAnsi" w:eastAsia="Times New Roman" w:hAnsiTheme="minorHAnsi" w:cstheme="minorHAnsi"/>
          <w:sz w:val="24"/>
          <w:szCs w:val="24"/>
          <w:lang w:val="en-US" w:eastAsia="hu-HU"/>
        </w:rPr>
        <w:t xml:space="preserve">  </w:t>
      </w:r>
      <w:r w:rsidR="00DC0E52" w:rsidRPr="00C93B48">
        <w:rPr>
          <w:rFonts w:asciiTheme="minorHAnsi" w:eastAsia="Times New Roman" w:hAnsiTheme="minorHAnsi" w:cstheme="minorHAnsi"/>
          <w:sz w:val="24"/>
          <w:szCs w:val="24"/>
          <w:lang w:val="en-US" w:eastAsia="hu-HU"/>
        </w:rPr>
        <w:t xml:space="preserve">    </w:t>
      </w:r>
      <w:r w:rsidR="00DF40CA" w:rsidRPr="00C93B48">
        <w:rPr>
          <w:rFonts w:asciiTheme="minorHAnsi" w:eastAsia="Times New Roman" w:hAnsiTheme="minorHAnsi" w:cstheme="minorHAnsi"/>
          <w:sz w:val="24"/>
          <w:szCs w:val="24"/>
          <w:lang w:val="en-US" w:eastAsia="hu-HU"/>
        </w:rPr>
        <w:t xml:space="preserve"> </w:t>
      </w:r>
    </w:p>
    <w:p w14:paraId="30317991" w14:textId="35B52CDC" w:rsidR="003055E1" w:rsidRDefault="00C93B48" w:rsidP="002B2360">
      <w:pPr>
        <w:spacing w:before="100" w:beforeAutospacing="1" w:after="100" w:afterAutospacing="1"/>
        <w:jc w:val="both"/>
        <w:rPr>
          <w:rFonts w:asciiTheme="minorHAnsi" w:eastAsia="Times New Roman" w:hAnsiTheme="minorHAnsi" w:cstheme="minorHAnsi"/>
          <w:sz w:val="24"/>
          <w:szCs w:val="24"/>
          <w:lang w:val="en-US" w:eastAsia="hu-HU"/>
        </w:rPr>
      </w:pPr>
      <w:r>
        <w:rPr>
          <w:rFonts w:asciiTheme="minorHAnsi" w:eastAsia="Times New Roman" w:hAnsiTheme="minorHAnsi" w:cstheme="minorHAnsi"/>
          <w:sz w:val="24"/>
          <w:szCs w:val="24"/>
          <w:lang w:val="en-US" w:eastAsia="hu-HU"/>
        </w:rPr>
        <w:t xml:space="preserve">Thus, it is clear that the complaint is supposed to be </w:t>
      </w:r>
      <w:r w:rsidR="003055E1">
        <w:rPr>
          <w:rFonts w:asciiTheme="minorHAnsi" w:eastAsia="Times New Roman" w:hAnsiTheme="minorHAnsi" w:cstheme="minorHAnsi"/>
          <w:sz w:val="24"/>
          <w:szCs w:val="24"/>
          <w:lang w:val="en-US" w:eastAsia="hu-HU"/>
        </w:rPr>
        <w:t>for</w:t>
      </w:r>
      <w:r>
        <w:rPr>
          <w:rFonts w:asciiTheme="minorHAnsi" w:eastAsia="Times New Roman" w:hAnsiTheme="minorHAnsi" w:cstheme="minorHAnsi"/>
          <w:sz w:val="24"/>
          <w:szCs w:val="24"/>
          <w:lang w:val="en-US" w:eastAsia="hu-HU"/>
        </w:rPr>
        <w:t xml:space="preserve"> steps </w:t>
      </w:r>
      <w:r w:rsidRPr="00C93B48">
        <w:rPr>
          <w:rFonts w:asciiTheme="minorHAnsi" w:eastAsia="Times New Roman" w:hAnsiTheme="minorHAnsi" w:cstheme="minorHAnsi"/>
          <w:i/>
          <w:sz w:val="24"/>
          <w:szCs w:val="24"/>
          <w:lang w:val="en-US" w:eastAsia="hu-HU"/>
        </w:rPr>
        <w:t>already taken</w:t>
      </w:r>
      <w:r>
        <w:rPr>
          <w:rFonts w:asciiTheme="minorHAnsi" w:eastAsia="Times New Roman" w:hAnsiTheme="minorHAnsi" w:cstheme="minorHAnsi"/>
          <w:sz w:val="24"/>
          <w:szCs w:val="24"/>
          <w:lang w:val="en-US" w:eastAsia="hu-HU"/>
        </w:rPr>
        <w:t xml:space="preserve"> and in relation to upload</w:t>
      </w:r>
      <w:r w:rsidR="003055E1">
        <w:rPr>
          <w:rFonts w:asciiTheme="minorHAnsi" w:eastAsia="Times New Roman" w:hAnsiTheme="minorHAnsi" w:cstheme="minorHAnsi"/>
          <w:sz w:val="24"/>
          <w:szCs w:val="24"/>
          <w:lang w:val="en-US" w:eastAsia="hu-HU"/>
        </w:rPr>
        <w:t>s</w:t>
      </w:r>
      <w:r>
        <w:rPr>
          <w:rFonts w:asciiTheme="minorHAnsi" w:eastAsia="Times New Roman" w:hAnsiTheme="minorHAnsi" w:cstheme="minorHAnsi"/>
          <w:sz w:val="24"/>
          <w:szCs w:val="24"/>
          <w:lang w:val="en-US" w:eastAsia="hu-HU"/>
        </w:rPr>
        <w:t xml:space="preserve"> </w:t>
      </w:r>
      <w:r w:rsidR="00325B90">
        <w:rPr>
          <w:rFonts w:asciiTheme="minorHAnsi" w:eastAsia="Times New Roman" w:hAnsiTheme="minorHAnsi" w:cstheme="minorHAnsi"/>
          <w:sz w:val="24"/>
          <w:szCs w:val="24"/>
          <w:lang w:val="en-US" w:eastAsia="hu-HU"/>
        </w:rPr>
        <w:t xml:space="preserve">for which </w:t>
      </w:r>
      <w:r w:rsidRPr="00C93B48">
        <w:rPr>
          <w:rFonts w:asciiTheme="minorHAnsi" w:eastAsia="Times New Roman" w:hAnsiTheme="minorHAnsi" w:cstheme="minorHAnsi"/>
          <w:i/>
          <w:sz w:val="24"/>
          <w:szCs w:val="24"/>
          <w:lang w:val="en-US" w:eastAsia="hu-HU"/>
        </w:rPr>
        <w:t>access has been already disabled</w:t>
      </w:r>
      <w:r>
        <w:rPr>
          <w:rFonts w:asciiTheme="minorHAnsi" w:eastAsia="Times New Roman" w:hAnsiTheme="minorHAnsi" w:cstheme="minorHAnsi"/>
          <w:sz w:val="24"/>
          <w:szCs w:val="24"/>
          <w:lang w:val="en-US" w:eastAsia="hu-HU"/>
        </w:rPr>
        <w:t xml:space="preserve"> or </w:t>
      </w:r>
      <w:r w:rsidR="003055E1">
        <w:rPr>
          <w:rFonts w:asciiTheme="minorHAnsi" w:eastAsia="Times New Roman" w:hAnsiTheme="minorHAnsi" w:cstheme="minorHAnsi"/>
          <w:sz w:val="24"/>
          <w:szCs w:val="24"/>
          <w:lang w:val="en-US" w:eastAsia="hu-HU"/>
        </w:rPr>
        <w:t xml:space="preserve">which </w:t>
      </w:r>
      <w:r w:rsidR="003055E1" w:rsidRPr="00AB6A97">
        <w:rPr>
          <w:rFonts w:asciiTheme="minorHAnsi" w:eastAsia="Times New Roman" w:hAnsiTheme="minorHAnsi" w:cstheme="minorHAnsi"/>
          <w:i/>
          <w:sz w:val="24"/>
          <w:szCs w:val="24"/>
          <w:lang w:val="en-US" w:eastAsia="hu-HU"/>
        </w:rPr>
        <w:t>has already been removed</w:t>
      </w:r>
      <w:r w:rsidR="003055E1">
        <w:rPr>
          <w:rFonts w:asciiTheme="minorHAnsi" w:eastAsia="Times New Roman" w:hAnsiTheme="minorHAnsi" w:cstheme="minorHAnsi"/>
          <w:sz w:val="24"/>
          <w:szCs w:val="24"/>
          <w:lang w:val="en-US" w:eastAsia="hu-HU"/>
        </w:rPr>
        <w:t xml:space="preserve">. </w:t>
      </w:r>
    </w:p>
    <w:p w14:paraId="75118BE9" w14:textId="2E7A046D" w:rsidR="0076032D" w:rsidRDefault="00AB6A97" w:rsidP="003055E1">
      <w:pPr>
        <w:spacing w:before="100" w:beforeAutospacing="1" w:after="100" w:afterAutospacing="1"/>
        <w:jc w:val="both"/>
        <w:rPr>
          <w:rFonts w:asciiTheme="minorHAnsi" w:eastAsia="Times New Roman" w:hAnsiTheme="minorHAnsi" w:cstheme="minorHAnsi"/>
          <w:sz w:val="24"/>
          <w:szCs w:val="24"/>
          <w:lang w:val="en-US" w:eastAsia="hu-HU"/>
        </w:rPr>
      </w:pPr>
      <w:r>
        <w:rPr>
          <w:rFonts w:asciiTheme="minorHAnsi" w:eastAsia="Times New Roman" w:hAnsiTheme="minorHAnsi" w:cstheme="minorHAnsi"/>
          <w:sz w:val="24"/>
          <w:szCs w:val="24"/>
          <w:lang w:val="en-US" w:eastAsia="hu-HU"/>
        </w:rPr>
        <w:t>The</w:t>
      </w:r>
      <w:r w:rsidR="001B27AE">
        <w:rPr>
          <w:rFonts w:asciiTheme="minorHAnsi" w:eastAsia="Times New Roman" w:hAnsiTheme="minorHAnsi" w:cstheme="minorHAnsi"/>
          <w:sz w:val="24"/>
          <w:szCs w:val="24"/>
          <w:lang w:val="en-US" w:eastAsia="hu-HU"/>
        </w:rPr>
        <w:t xml:space="preserve"> key elements of the revers</w:t>
      </w:r>
      <w:r w:rsidR="00325B90">
        <w:rPr>
          <w:rFonts w:asciiTheme="minorHAnsi" w:eastAsia="Times New Roman" w:hAnsiTheme="minorHAnsi" w:cstheme="minorHAnsi"/>
          <w:sz w:val="24"/>
          <w:szCs w:val="24"/>
          <w:lang w:val="en-US" w:eastAsia="hu-HU"/>
        </w:rPr>
        <w:t>e</w:t>
      </w:r>
      <w:r w:rsidR="001B27AE">
        <w:rPr>
          <w:rFonts w:asciiTheme="minorHAnsi" w:eastAsia="Times New Roman" w:hAnsiTheme="minorHAnsi" w:cstheme="minorHAnsi"/>
          <w:sz w:val="24"/>
          <w:szCs w:val="24"/>
          <w:lang w:val="en-US" w:eastAsia="hu-HU"/>
        </w:rPr>
        <w:t xml:space="preserve"> mechanism suggested in the Recommendations to be applied before the application of preventive measures are these (in order to</w:t>
      </w:r>
      <w:r>
        <w:rPr>
          <w:rFonts w:asciiTheme="minorHAnsi" w:eastAsia="Times New Roman" w:hAnsiTheme="minorHAnsi" w:cstheme="minorHAnsi"/>
          <w:sz w:val="24"/>
          <w:szCs w:val="24"/>
          <w:lang w:val="en-US" w:eastAsia="hu-HU"/>
        </w:rPr>
        <w:t xml:space="preserve"> avoid </w:t>
      </w:r>
      <w:r w:rsidR="001B27AE">
        <w:rPr>
          <w:rFonts w:asciiTheme="minorHAnsi" w:eastAsia="Times New Roman" w:hAnsiTheme="minorHAnsi" w:cstheme="minorHAnsi"/>
          <w:sz w:val="24"/>
          <w:szCs w:val="24"/>
          <w:lang w:val="en-US" w:eastAsia="hu-HU"/>
        </w:rPr>
        <w:t>unintentionally misrepresent</w:t>
      </w:r>
      <w:r>
        <w:rPr>
          <w:rFonts w:asciiTheme="minorHAnsi" w:eastAsia="Times New Roman" w:hAnsiTheme="minorHAnsi" w:cstheme="minorHAnsi"/>
          <w:sz w:val="24"/>
          <w:szCs w:val="24"/>
          <w:lang w:val="en-US" w:eastAsia="hu-HU"/>
        </w:rPr>
        <w:t>ing</w:t>
      </w:r>
      <w:r w:rsidR="001B27AE">
        <w:rPr>
          <w:rFonts w:asciiTheme="minorHAnsi" w:eastAsia="Times New Roman" w:hAnsiTheme="minorHAnsi" w:cstheme="minorHAnsi"/>
          <w:sz w:val="24"/>
          <w:szCs w:val="24"/>
          <w:lang w:val="en-US" w:eastAsia="hu-HU"/>
        </w:rPr>
        <w:t xml:space="preserve"> it, I quote the relevant parts extensively)</w:t>
      </w:r>
      <w:r w:rsidR="0076032D">
        <w:rPr>
          <w:rFonts w:asciiTheme="minorHAnsi" w:eastAsia="Times New Roman" w:hAnsiTheme="minorHAnsi" w:cstheme="minorHAnsi"/>
          <w:sz w:val="24"/>
          <w:szCs w:val="24"/>
          <w:lang w:val="en-US" w:eastAsia="hu-HU"/>
        </w:rPr>
        <w:t>:</w:t>
      </w:r>
    </w:p>
    <w:p w14:paraId="3D315A7D" w14:textId="77777777" w:rsidR="0076032D" w:rsidRDefault="0076032D" w:rsidP="0076032D">
      <w:pPr>
        <w:pStyle w:val="Szvegtrzs"/>
        <w:ind w:left="567" w:right="114"/>
        <w:jc w:val="both"/>
        <w:rPr>
          <w:rFonts w:asciiTheme="minorHAnsi" w:hAnsiTheme="minorHAnsi" w:cstheme="minorHAnsi"/>
          <w:sz w:val="24"/>
          <w:szCs w:val="24"/>
        </w:rPr>
      </w:pPr>
      <w:r>
        <w:rPr>
          <w:rFonts w:asciiTheme="minorHAnsi" w:hAnsiTheme="minorHAnsi" w:cstheme="minorHAnsi"/>
          <w:sz w:val="24"/>
          <w:szCs w:val="24"/>
        </w:rPr>
        <w:t>[</w:t>
      </w:r>
      <w:r w:rsidRPr="0076032D">
        <w:rPr>
          <w:rFonts w:asciiTheme="minorHAnsi" w:hAnsiTheme="minorHAnsi" w:cstheme="minorHAnsi"/>
          <w:i/>
          <w:sz w:val="24"/>
          <w:szCs w:val="24"/>
        </w:rPr>
        <w:t>W]e recommend that</w:t>
      </w:r>
      <w:r>
        <w:rPr>
          <w:rFonts w:asciiTheme="minorHAnsi" w:hAnsiTheme="minorHAnsi" w:cstheme="minorHAnsi"/>
          <w:sz w:val="24"/>
          <w:szCs w:val="24"/>
        </w:rPr>
        <w:t>,</w:t>
      </w:r>
      <w:r w:rsidRPr="0076032D">
        <w:rPr>
          <w:rFonts w:asciiTheme="minorHAnsi" w:hAnsiTheme="minorHAnsi" w:cstheme="minorHAnsi"/>
          <w:sz w:val="24"/>
          <w:szCs w:val="24"/>
        </w:rPr>
        <w:t xml:space="preserve"> where </w:t>
      </w:r>
      <w:r w:rsidRPr="0076032D">
        <w:rPr>
          <w:rFonts w:asciiTheme="minorHAnsi" w:hAnsiTheme="minorHAnsi" w:cstheme="minorHAnsi"/>
          <w:i/>
          <w:sz w:val="24"/>
          <w:szCs w:val="24"/>
        </w:rPr>
        <w:t>preventive measures</w:t>
      </w:r>
      <w:r w:rsidRPr="0076032D">
        <w:rPr>
          <w:rFonts w:asciiTheme="minorHAnsi" w:hAnsiTheme="minorHAnsi" w:cstheme="minorHAnsi"/>
          <w:sz w:val="24"/>
          <w:szCs w:val="24"/>
        </w:rPr>
        <w:t xml:space="preserve"> in paragraphs (4)(b) and (c) are applied, especially where they lead to the filtering and blocking of uploaded content before it is made available to the public, Member States </w:t>
      </w:r>
      <w:r w:rsidRPr="0076032D">
        <w:rPr>
          <w:rFonts w:asciiTheme="minorHAnsi" w:hAnsiTheme="minorHAnsi" w:cstheme="minorHAnsi"/>
          <w:i/>
          <w:sz w:val="24"/>
          <w:szCs w:val="24"/>
        </w:rPr>
        <w:t>should, to the extent possible, limit their application to cases of prima facie copyright infringement</w:t>
      </w:r>
      <w:r w:rsidRPr="0076032D">
        <w:rPr>
          <w:rFonts w:asciiTheme="minorHAnsi" w:hAnsiTheme="minorHAnsi" w:cstheme="minorHAnsi"/>
          <w:sz w:val="24"/>
          <w:szCs w:val="24"/>
        </w:rPr>
        <w:t xml:space="preserve">. In this context, a prima facie copyright infringement </w:t>
      </w:r>
      <w:r w:rsidRPr="0076032D">
        <w:rPr>
          <w:rFonts w:asciiTheme="minorHAnsi" w:hAnsiTheme="minorHAnsi" w:cstheme="minorHAnsi"/>
          <w:i/>
          <w:sz w:val="24"/>
          <w:szCs w:val="24"/>
        </w:rPr>
        <w:t>means the upload of protected material that is identical or equivalent to the “relevant and necessary information”</w:t>
      </w:r>
      <w:r w:rsidRPr="0076032D">
        <w:rPr>
          <w:rFonts w:asciiTheme="minorHAnsi" w:hAnsiTheme="minorHAnsi" w:cstheme="minorHAnsi"/>
          <w:sz w:val="24"/>
          <w:szCs w:val="24"/>
        </w:rPr>
        <w:t xml:space="preserve"> previously </w:t>
      </w:r>
      <w:r w:rsidRPr="0076032D">
        <w:rPr>
          <w:rFonts w:asciiTheme="minorHAnsi" w:hAnsiTheme="minorHAnsi" w:cstheme="minorHAnsi"/>
          <w:i/>
          <w:sz w:val="24"/>
          <w:szCs w:val="24"/>
        </w:rPr>
        <w:t>provided by the rightholders</w:t>
      </w:r>
      <w:r w:rsidRPr="0076032D">
        <w:rPr>
          <w:rFonts w:asciiTheme="minorHAnsi" w:hAnsiTheme="minorHAnsi" w:cstheme="minorHAnsi"/>
          <w:sz w:val="24"/>
          <w:szCs w:val="24"/>
        </w:rPr>
        <w:t xml:space="preserve"> to OCSSPs, including information previously considered infringing. The concept of equivalent information </w:t>
      </w:r>
      <w:r w:rsidRPr="0076032D">
        <w:rPr>
          <w:rFonts w:asciiTheme="minorHAnsi" w:hAnsiTheme="minorHAnsi" w:cstheme="minorHAnsi"/>
          <w:i/>
          <w:sz w:val="24"/>
          <w:szCs w:val="24"/>
        </w:rPr>
        <w:t>should be interpreted</w:t>
      </w:r>
      <w:r w:rsidRPr="0076032D">
        <w:rPr>
          <w:rFonts w:asciiTheme="minorHAnsi" w:hAnsiTheme="minorHAnsi" w:cstheme="minorHAnsi"/>
          <w:i/>
          <w:spacing w:val="-17"/>
          <w:sz w:val="24"/>
          <w:szCs w:val="24"/>
        </w:rPr>
        <w:t xml:space="preserve"> </w:t>
      </w:r>
      <w:r w:rsidRPr="0076032D">
        <w:rPr>
          <w:rFonts w:asciiTheme="minorHAnsi" w:hAnsiTheme="minorHAnsi" w:cstheme="minorHAnsi"/>
          <w:i/>
          <w:sz w:val="24"/>
          <w:szCs w:val="24"/>
        </w:rPr>
        <w:t>strictly</w:t>
      </w:r>
      <w:r w:rsidRPr="0076032D">
        <w:rPr>
          <w:rFonts w:asciiTheme="minorHAnsi" w:hAnsiTheme="minorHAnsi" w:cstheme="minorHAnsi"/>
          <w:sz w:val="24"/>
          <w:szCs w:val="24"/>
        </w:rPr>
        <w:t>.</w:t>
      </w:r>
    </w:p>
    <w:p w14:paraId="0465C617" w14:textId="77777777" w:rsidR="00045AC6" w:rsidRPr="0076032D" w:rsidRDefault="00045AC6" w:rsidP="0076032D">
      <w:pPr>
        <w:pStyle w:val="Szvegtrzs"/>
        <w:ind w:left="567" w:right="114"/>
        <w:jc w:val="both"/>
        <w:rPr>
          <w:rFonts w:asciiTheme="minorHAnsi" w:hAnsiTheme="minorHAnsi" w:cstheme="minorHAnsi"/>
          <w:sz w:val="24"/>
          <w:szCs w:val="24"/>
        </w:rPr>
      </w:pPr>
    </w:p>
    <w:p w14:paraId="444FD168" w14:textId="77777777" w:rsidR="0076032D" w:rsidRDefault="0076032D" w:rsidP="0076032D">
      <w:pPr>
        <w:pStyle w:val="Szvegtrzs"/>
        <w:ind w:left="567" w:right="114" w:hanging="1"/>
        <w:jc w:val="both"/>
        <w:rPr>
          <w:rFonts w:asciiTheme="minorHAnsi" w:hAnsiTheme="minorHAnsi" w:cstheme="minorHAnsi"/>
          <w:sz w:val="24"/>
          <w:szCs w:val="24"/>
        </w:rPr>
      </w:pPr>
      <w:r w:rsidRPr="0076032D">
        <w:rPr>
          <w:rFonts w:asciiTheme="minorHAnsi" w:hAnsiTheme="minorHAnsi" w:cstheme="minorHAnsi"/>
          <w:sz w:val="24"/>
          <w:szCs w:val="24"/>
        </w:rPr>
        <w:t xml:space="preserve">If content is disabled or removed in the prima facie infringement scenario, </w:t>
      </w:r>
      <w:r w:rsidRPr="0076032D">
        <w:rPr>
          <w:rFonts w:asciiTheme="minorHAnsi" w:hAnsiTheme="minorHAnsi" w:cstheme="minorHAnsi"/>
          <w:i/>
          <w:sz w:val="24"/>
          <w:szCs w:val="24"/>
        </w:rPr>
        <w:t>users are entitled to the safeguards included in Article 17(9) and explained above</w:t>
      </w:r>
      <w:r w:rsidRPr="0076032D">
        <w:rPr>
          <w:rFonts w:asciiTheme="minorHAnsi" w:hAnsiTheme="minorHAnsi" w:cstheme="minorHAnsi"/>
          <w:sz w:val="24"/>
          <w:szCs w:val="24"/>
        </w:rPr>
        <w:t xml:space="preserve">. </w:t>
      </w:r>
      <w:r w:rsidRPr="0076032D">
        <w:rPr>
          <w:rFonts w:asciiTheme="minorHAnsi" w:hAnsiTheme="minorHAnsi" w:cstheme="minorHAnsi"/>
          <w:i/>
          <w:sz w:val="24"/>
          <w:szCs w:val="24"/>
        </w:rPr>
        <w:t xml:space="preserve">In the remaining cases (no prima facie infringement) </w:t>
      </w:r>
      <w:r w:rsidRPr="0076032D">
        <w:rPr>
          <w:rFonts w:asciiTheme="minorHAnsi" w:hAnsiTheme="minorHAnsi" w:cstheme="minorHAnsi"/>
          <w:sz w:val="24"/>
          <w:szCs w:val="24"/>
        </w:rPr>
        <w:t xml:space="preserve">there should be no presumption that the uploaded content is infringing, meaning that </w:t>
      </w:r>
      <w:r w:rsidRPr="0076032D">
        <w:rPr>
          <w:rFonts w:asciiTheme="minorHAnsi" w:hAnsiTheme="minorHAnsi" w:cstheme="minorHAnsi"/>
          <w:i/>
          <w:sz w:val="24"/>
          <w:szCs w:val="24"/>
        </w:rPr>
        <w:t>such content should remain available to the public</w:t>
      </w:r>
      <w:r w:rsidRPr="0076032D">
        <w:rPr>
          <w:rFonts w:asciiTheme="minorHAnsi" w:hAnsiTheme="minorHAnsi" w:cstheme="minorHAnsi"/>
          <w:sz w:val="24"/>
          <w:szCs w:val="24"/>
        </w:rPr>
        <w:t xml:space="preserve"> in the OCSSP </w:t>
      </w:r>
      <w:r w:rsidRPr="0076032D">
        <w:rPr>
          <w:rFonts w:asciiTheme="minorHAnsi" w:hAnsiTheme="minorHAnsi" w:cstheme="minorHAnsi"/>
          <w:i/>
          <w:sz w:val="24"/>
          <w:szCs w:val="24"/>
        </w:rPr>
        <w:t>until its legal status is determined</w:t>
      </w:r>
      <w:r w:rsidRPr="0076032D">
        <w:rPr>
          <w:rFonts w:asciiTheme="minorHAnsi" w:hAnsiTheme="minorHAnsi" w:cstheme="minorHAnsi"/>
          <w:sz w:val="24"/>
          <w:szCs w:val="24"/>
        </w:rPr>
        <w:t>, following a procedure consistent with Article 17(9). We recommend that such procedure abides by the following principles.</w:t>
      </w:r>
    </w:p>
    <w:p w14:paraId="4F6D1913" w14:textId="77777777" w:rsidR="00045AC6" w:rsidRDefault="00045AC6" w:rsidP="0076032D">
      <w:pPr>
        <w:pStyle w:val="Szvegtrzs"/>
        <w:ind w:left="567" w:right="114" w:hanging="1"/>
        <w:jc w:val="both"/>
        <w:rPr>
          <w:rFonts w:asciiTheme="minorHAnsi" w:hAnsiTheme="minorHAnsi" w:cstheme="minorHAnsi"/>
          <w:sz w:val="24"/>
          <w:szCs w:val="24"/>
        </w:rPr>
      </w:pPr>
    </w:p>
    <w:p w14:paraId="2EAE319F" w14:textId="77777777" w:rsidR="003E6CD0" w:rsidRDefault="003E6CD0" w:rsidP="0076032D">
      <w:pPr>
        <w:pStyle w:val="Szvegtrzs"/>
        <w:ind w:left="567"/>
        <w:jc w:val="both"/>
        <w:rPr>
          <w:rFonts w:asciiTheme="minorHAnsi" w:hAnsiTheme="minorHAnsi" w:cstheme="minorHAnsi"/>
          <w:i/>
          <w:sz w:val="24"/>
          <w:szCs w:val="24"/>
        </w:rPr>
      </w:pPr>
      <w:r w:rsidRPr="0076032D">
        <w:rPr>
          <w:rFonts w:asciiTheme="minorHAnsi" w:hAnsiTheme="minorHAnsi" w:cstheme="minorHAnsi"/>
          <w:i/>
          <w:sz w:val="24"/>
          <w:szCs w:val="24"/>
        </w:rPr>
        <w:t>When the content uploaded by users does not meet the prima facie infringement threshold</w:t>
      </w:r>
      <w:r w:rsidRPr="003E6CD0">
        <w:rPr>
          <w:rFonts w:asciiTheme="minorHAnsi" w:hAnsiTheme="minorHAnsi" w:cstheme="minorHAnsi"/>
          <w:sz w:val="24"/>
          <w:szCs w:val="24"/>
        </w:rPr>
        <w:t xml:space="preserve"> but partially matches the “relevant and necessary information” provided by the rightholder, </w:t>
      </w:r>
      <w:r w:rsidRPr="0076032D">
        <w:rPr>
          <w:rFonts w:asciiTheme="minorHAnsi" w:hAnsiTheme="minorHAnsi" w:cstheme="minorHAnsi"/>
          <w:i/>
          <w:sz w:val="24"/>
          <w:szCs w:val="24"/>
        </w:rPr>
        <w:t>OCSSPs must offer users the possibility to declare that the content at issue is covered by an E&amp;L or user right/freedom</w:t>
      </w:r>
      <w:r w:rsidR="0076032D">
        <w:rPr>
          <w:rFonts w:asciiTheme="minorHAnsi" w:hAnsiTheme="minorHAnsi" w:cstheme="minorHAnsi"/>
          <w:i/>
          <w:sz w:val="24"/>
          <w:szCs w:val="24"/>
        </w:rPr>
        <w:t>…</w:t>
      </w:r>
    </w:p>
    <w:p w14:paraId="2767DB00" w14:textId="77777777" w:rsidR="00045AC6" w:rsidRPr="0076032D" w:rsidRDefault="00045AC6" w:rsidP="0076032D">
      <w:pPr>
        <w:pStyle w:val="Szvegtrzs"/>
        <w:ind w:left="567"/>
        <w:jc w:val="both"/>
        <w:rPr>
          <w:rFonts w:asciiTheme="minorHAnsi" w:hAnsiTheme="minorHAnsi" w:cstheme="minorHAnsi"/>
          <w:i/>
          <w:sz w:val="24"/>
          <w:szCs w:val="24"/>
        </w:rPr>
      </w:pPr>
    </w:p>
    <w:p w14:paraId="36925496" w14:textId="77777777" w:rsidR="003E6CD0" w:rsidRDefault="003E6CD0" w:rsidP="003E6CD0">
      <w:pPr>
        <w:pStyle w:val="Szvegtrzs"/>
        <w:ind w:left="567"/>
        <w:jc w:val="both"/>
        <w:rPr>
          <w:rFonts w:asciiTheme="minorHAnsi" w:hAnsiTheme="minorHAnsi" w:cstheme="minorHAnsi"/>
          <w:sz w:val="24"/>
          <w:szCs w:val="24"/>
        </w:rPr>
      </w:pPr>
      <w:r w:rsidRPr="0076032D">
        <w:rPr>
          <w:rFonts w:asciiTheme="minorHAnsi" w:hAnsiTheme="minorHAnsi" w:cstheme="minorHAnsi"/>
          <w:i/>
          <w:sz w:val="24"/>
          <w:szCs w:val="24"/>
        </w:rPr>
        <w:t>If a user does not provide that declaration</w:t>
      </w:r>
      <w:r w:rsidRPr="003E6CD0">
        <w:rPr>
          <w:rFonts w:asciiTheme="minorHAnsi" w:hAnsiTheme="minorHAnsi" w:cstheme="minorHAnsi"/>
          <w:sz w:val="24"/>
          <w:szCs w:val="24"/>
        </w:rPr>
        <w:t xml:space="preserve"> within a reasonable period of time, during or following the upload process, then the </w:t>
      </w:r>
      <w:r w:rsidRPr="0076032D">
        <w:rPr>
          <w:rFonts w:asciiTheme="minorHAnsi" w:hAnsiTheme="minorHAnsi" w:cstheme="minorHAnsi"/>
          <w:i/>
          <w:sz w:val="24"/>
          <w:szCs w:val="24"/>
        </w:rPr>
        <w:t xml:space="preserve">OCSSP should be </w:t>
      </w:r>
      <w:r w:rsidRPr="0076032D">
        <w:rPr>
          <w:rFonts w:asciiTheme="minorHAnsi" w:hAnsiTheme="minorHAnsi" w:cstheme="minorHAnsi"/>
          <w:i/>
          <w:sz w:val="24"/>
          <w:szCs w:val="24"/>
          <w:u w:val="single"/>
        </w:rPr>
        <w:t>allowed</w:t>
      </w:r>
      <w:r w:rsidRPr="0076032D">
        <w:rPr>
          <w:rFonts w:asciiTheme="minorHAnsi" w:hAnsiTheme="minorHAnsi" w:cstheme="minorHAnsi"/>
          <w:sz w:val="24"/>
          <w:szCs w:val="24"/>
          <w:u w:val="single"/>
        </w:rPr>
        <w:t xml:space="preserve"> </w:t>
      </w:r>
      <w:r w:rsidRPr="0076032D">
        <w:rPr>
          <w:rFonts w:asciiTheme="minorHAnsi" w:hAnsiTheme="minorHAnsi" w:cstheme="minorHAnsi"/>
          <w:i/>
          <w:sz w:val="24"/>
          <w:szCs w:val="24"/>
        </w:rPr>
        <w:t>to disable or remove access to the content</w:t>
      </w:r>
      <w:r w:rsidRPr="003E6CD0">
        <w:rPr>
          <w:rFonts w:asciiTheme="minorHAnsi" w:hAnsiTheme="minorHAnsi" w:cstheme="minorHAnsi"/>
          <w:sz w:val="24"/>
          <w:szCs w:val="24"/>
        </w:rPr>
        <w:t>. If access to the content is disabled or removed, users may use the in-platform and out-of-court procedural safeguards in Article 17(9).</w:t>
      </w:r>
    </w:p>
    <w:p w14:paraId="56495475" w14:textId="77777777" w:rsidR="00045AC6" w:rsidRPr="003E6CD0" w:rsidRDefault="00045AC6" w:rsidP="003E6CD0">
      <w:pPr>
        <w:pStyle w:val="Szvegtrzs"/>
        <w:ind w:left="567"/>
        <w:jc w:val="both"/>
        <w:rPr>
          <w:rFonts w:asciiTheme="minorHAnsi" w:hAnsiTheme="minorHAnsi" w:cstheme="minorHAnsi"/>
          <w:sz w:val="24"/>
          <w:szCs w:val="24"/>
        </w:rPr>
      </w:pPr>
    </w:p>
    <w:p w14:paraId="429F82EE" w14:textId="08CA00EE" w:rsidR="003E6CD0" w:rsidRDefault="003E6CD0" w:rsidP="003E6CD0">
      <w:pPr>
        <w:pStyle w:val="Szvegtrzs"/>
        <w:ind w:left="567"/>
        <w:jc w:val="both"/>
        <w:rPr>
          <w:rFonts w:asciiTheme="minorHAnsi" w:hAnsiTheme="minorHAnsi" w:cstheme="minorHAnsi"/>
          <w:sz w:val="24"/>
          <w:szCs w:val="24"/>
        </w:rPr>
      </w:pPr>
      <w:r w:rsidRPr="0076032D">
        <w:rPr>
          <w:rFonts w:asciiTheme="minorHAnsi" w:hAnsiTheme="minorHAnsi" w:cstheme="minorHAnsi"/>
          <w:i/>
          <w:sz w:val="24"/>
          <w:szCs w:val="24"/>
        </w:rPr>
        <w:t>If a user provides such a declaration</w:t>
      </w:r>
      <w:r w:rsidR="0076032D">
        <w:rPr>
          <w:rFonts w:asciiTheme="minorHAnsi" w:hAnsiTheme="minorHAnsi" w:cstheme="minorHAnsi"/>
          <w:sz w:val="24"/>
          <w:szCs w:val="24"/>
        </w:rPr>
        <w:t>…</w:t>
      </w:r>
      <w:r w:rsidRPr="003E6CD0">
        <w:rPr>
          <w:rFonts w:asciiTheme="minorHAnsi" w:hAnsiTheme="minorHAnsi" w:cstheme="minorHAnsi"/>
          <w:sz w:val="24"/>
          <w:szCs w:val="24"/>
        </w:rPr>
        <w:t xml:space="preserve">, the same </w:t>
      </w:r>
      <w:r w:rsidRPr="0076032D">
        <w:rPr>
          <w:rFonts w:asciiTheme="minorHAnsi" w:hAnsiTheme="minorHAnsi" w:cstheme="minorHAnsi"/>
          <w:i/>
          <w:sz w:val="24"/>
          <w:szCs w:val="24"/>
        </w:rPr>
        <w:t>should automatically qualify as a “complaint” under Article 17(9),</w:t>
      </w:r>
      <w:r w:rsidRPr="003E6CD0">
        <w:rPr>
          <w:rFonts w:asciiTheme="minorHAnsi" w:hAnsiTheme="minorHAnsi" w:cstheme="minorHAnsi"/>
          <w:sz w:val="24"/>
          <w:szCs w:val="24"/>
        </w:rPr>
        <w:t xml:space="preserve"> triggering the mechanism set forth therein. The OCSSP must then inform the relevant rightholder of this complaint. </w:t>
      </w:r>
      <w:r w:rsidRPr="0076032D">
        <w:rPr>
          <w:rFonts w:asciiTheme="minorHAnsi" w:hAnsiTheme="minorHAnsi" w:cstheme="minorHAnsi"/>
          <w:i/>
          <w:sz w:val="24"/>
          <w:szCs w:val="24"/>
        </w:rPr>
        <w:t>If the rightholder wishes to remove or disable access</w:t>
      </w:r>
      <w:r w:rsidRPr="003E6CD0">
        <w:rPr>
          <w:rFonts w:asciiTheme="minorHAnsi" w:hAnsiTheme="minorHAnsi" w:cstheme="minorHAnsi"/>
          <w:sz w:val="24"/>
          <w:szCs w:val="24"/>
        </w:rPr>
        <w:t xml:space="preserve"> </w:t>
      </w:r>
      <w:r w:rsidRPr="0076032D">
        <w:rPr>
          <w:rFonts w:asciiTheme="minorHAnsi" w:hAnsiTheme="minorHAnsi" w:cstheme="minorHAnsi"/>
          <w:i/>
          <w:sz w:val="24"/>
          <w:szCs w:val="24"/>
        </w:rPr>
        <w:t>to the content at issue it must duly justify its request</w:t>
      </w:r>
      <w:r w:rsidRPr="003E6CD0">
        <w:rPr>
          <w:rFonts w:asciiTheme="minorHAnsi" w:hAnsiTheme="minorHAnsi" w:cstheme="minorHAnsi"/>
          <w:sz w:val="24"/>
          <w:szCs w:val="24"/>
        </w:rPr>
        <w:t>, i.e. it must explain not only why the use in question is prima facie an infringement but also why it is not covered by an E&amp;L and, in particular, the E&amp;L invoked by the</w:t>
      </w:r>
      <w:r w:rsidRPr="003E6CD0">
        <w:rPr>
          <w:rFonts w:asciiTheme="minorHAnsi" w:hAnsiTheme="minorHAnsi" w:cstheme="minorHAnsi"/>
          <w:spacing w:val="-8"/>
          <w:sz w:val="24"/>
          <w:szCs w:val="24"/>
        </w:rPr>
        <w:t xml:space="preserve"> </w:t>
      </w:r>
      <w:r w:rsidRPr="003E6CD0">
        <w:rPr>
          <w:rFonts w:asciiTheme="minorHAnsi" w:hAnsiTheme="minorHAnsi" w:cstheme="minorHAnsi"/>
          <w:sz w:val="24"/>
          <w:szCs w:val="24"/>
        </w:rPr>
        <w:t>user.</w:t>
      </w:r>
    </w:p>
    <w:p w14:paraId="5639F4F4" w14:textId="77777777" w:rsidR="00045AC6" w:rsidRPr="003E6CD0" w:rsidRDefault="00045AC6" w:rsidP="003E6CD0">
      <w:pPr>
        <w:pStyle w:val="Szvegtrzs"/>
        <w:ind w:left="567"/>
        <w:jc w:val="both"/>
        <w:rPr>
          <w:rFonts w:asciiTheme="minorHAnsi" w:hAnsiTheme="minorHAnsi" w:cstheme="minorHAnsi"/>
          <w:sz w:val="24"/>
          <w:szCs w:val="24"/>
        </w:rPr>
      </w:pPr>
    </w:p>
    <w:p w14:paraId="3F6AA2F0" w14:textId="77777777" w:rsidR="003E6CD0" w:rsidRPr="003E6CD0" w:rsidRDefault="003E6CD0" w:rsidP="003E6CD0">
      <w:pPr>
        <w:pStyle w:val="Szvegtrzs"/>
        <w:ind w:left="567"/>
        <w:jc w:val="both"/>
        <w:rPr>
          <w:rFonts w:asciiTheme="minorHAnsi" w:hAnsiTheme="minorHAnsi" w:cstheme="minorHAnsi"/>
          <w:sz w:val="24"/>
          <w:szCs w:val="24"/>
        </w:rPr>
      </w:pPr>
      <w:r w:rsidRPr="0076032D">
        <w:rPr>
          <w:rFonts w:asciiTheme="minorHAnsi" w:hAnsiTheme="minorHAnsi" w:cstheme="minorHAnsi"/>
          <w:i/>
          <w:sz w:val="24"/>
          <w:szCs w:val="24"/>
        </w:rPr>
        <w:t>The OCSSP will then subject the decision to disable or remove content to human review</w:t>
      </w:r>
      <w:r w:rsidRPr="003E6CD0">
        <w:rPr>
          <w:rFonts w:asciiTheme="minorHAnsi" w:hAnsiTheme="minorHAnsi" w:cstheme="minorHAnsi"/>
          <w:sz w:val="24"/>
          <w:szCs w:val="24"/>
        </w:rPr>
        <w:t>. The safeguards regarding the availability of out-of-court redress mechanisms and efficient judicial review remain applicable.</w:t>
      </w:r>
    </w:p>
    <w:p w14:paraId="1D7EF914" w14:textId="489257CB" w:rsidR="003E6CD0" w:rsidRDefault="003E6CD0" w:rsidP="00A46F03">
      <w:pPr>
        <w:pStyle w:val="Szvegtrzs"/>
        <w:ind w:left="567"/>
        <w:jc w:val="both"/>
        <w:rPr>
          <w:rFonts w:asciiTheme="minorHAnsi" w:hAnsiTheme="minorHAnsi" w:cstheme="minorHAnsi"/>
          <w:sz w:val="24"/>
          <w:szCs w:val="24"/>
        </w:rPr>
      </w:pPr>
      <w:r w:rsidRPr="0076032D">
        <w:rPr>
          <w:rFonts w:asciiTheme="minorHAnsi" w:hAnsiTheme="minorHAnsi" w:cstheme="minorHAnsi"/>
          <w:i/>
          <w:sz w:val="24"/>
          <w:szCs w:val="24"/>
        </w:rPr>
        <w:t>Since the legal status of the prima facie non-infringing user upload is only determined at the end of this procedure, OCSSPs that comply with the requirements of such procedure should not be liable for copyright infringement</w:t>
      </w:r>
      <w:r w:rsidRPr="003E6CD0">
        <w:rPr>
          <w:rFonts w:asciiTheme="minorHAnsi" w:hAnsiTheme="minorHAnsi" w:cstheme="minorHAnsi"/>
          <w:sz w:val="24"/>
          <w:szCs w:val="24"/>
        </w:rPr>
        <w:t xml:space="preserve"> for the content made available to the public under Article 17 of the DSM Directive for the duration of the</w:t>
      </w:r>
      <w:r w:rsidRPr="003E6CD0">
        <w:rPr>
          <w:rFonts w:asciiTheme="minorHAnsi" w:hAnsiTheme="minorHAnsi" w:cstheme="minorHAnsi"/>
          <w:spacing w:val="-9"/>
          <w:sz w:val="24"/>
          <w:szCs w:val="24"/>
        </w:rPr>
        <w:t xml:space="preserve"> </w:t>
      </w:r>
      <w:r w:rsidRPr="003E6CD0">
        <w:rPr>
          <w:rFonts w:asciiTheme="minorHAnsi" w:hAnsiTheme="minorHAnsi" w:cstheme="minorHAnsi"/>
          <w:sz w:val="24"/>
          <w:szCs w:val="24"/>
        </w:rPr>
        <w:t>procedure.</w:t>
      </w:r>
      <w:r w:rsidR="00A130AB">
        <w:rPr>
          <w:rFonts w:asciiTheme="minorHAnsi" w:hAnsiTheme="minorHAnsi" w:cstheme="minorHAnsi"/>
          <w:sz w:val="24"/>
          <w:szCs w:val="24"/>
        </w:rPr>
        <w:t xml:space="preserve"> (Emphasis added, but the word “allowed” </w:t>
      </w:r>
      <w:r w:rsidR="00AB6A97">
        <w:rPr>
          <w:rFonts w:asciiTheme="minorHAnsi" w:hAnsiTheme="minorHAnsi" w:cstheme="minorHAnsi"/>
          <w:sz w:val="24"/>
          <w:szCs w:val="24"/>
        </w:rPr>
        <w:t xml:space="preserve">is </w:t>
      </w:r>
      <w:r w:rsidR="00A130AB">
        <w:rPr>
          <w:rFonts w:asciiTheme="minorHAnsi" w:hAnsiTheme="minorHAnsi" w:cstheme="minorHAnsi"/>
          <w:sz w:val="24"/>
          <w:szCs w:val="24"/>
        </w:rPr>
        <w:t xml:space="preserve">underlined is </w:t>
      </w:r>
      <w:r w:rsidR="00AB6A97">
        <w:rPr>
          <w:rFonts w:asciiTheme="minorHAnsi" w:hAnsiTheme="minorHAnsi" w:cstheme="minorHAnsi"/>
          <w:sz w:val="24"/>
          <w:szCs w:val="24"/>
        </w:rPr>
        <w:t xml:space="preserve">also </w:t>
      </w:r>
      <w:r w:rsidR="00A130AB">
        <w:rPr>
          <w:rFonts w:asciiTheme="minorHAnsi" w:hAnsiTheme="minorHAnsi" w:cstheme="minorHAnsi"/>
          <w:sz w:val="24"/>
          <w:szCs w:val="24"/>
        </w:rPr>
        <w:t>highlighted in the Recommendation.)</w:t>
      </w:r>
    </w:p>
    <w:p w14:paraId="2B263D06" w14:textId="77777777" w:rsidR="00A46F03" w:rsidRDefault="00A46F03" w:rsidP="00A46F03">
      <w:pPr>
        <w:pStyle w:val="Szvegtrzs"/>
        <w:ind w:left="567"/>
        <w:jc w:val="both"/>
        <w:rPr>
          <w:rFonts w:asciiTheme="minorHAnsi" w:hAnsiTheme="minorHAnsi" w:cstheme="minorHAnsi"/>
          <w:sz w:val="24"/>
          <w:szCs w:val="24"/>
        </w:rPr>
      </w:pPr>
    </w:p>
    <w:p w14:paraId="74FFD0F7" w14:textId="313EF375" w:rsidR="00A46F03" w:rsidRDefault="00A46F03" w:rsidP="00A46F03">
      <w:pPr>
        <w:jc w:val="both"/>
        <w:rPr>
          <w:rFonts w:asciiTheme="minorHAnsi" w:eastAsia="Times New Roman" w:hAnsiTheme="minorHAnsi" w:cstheme="minorHAnsi"/>
          <w:sz w:val="24"/>
          <w:szCs w:val="24"/>
          <w:lang w:val="en-US" w:eastAsia="hu-HU"/>
        </w:rPr>
      </w:pPr>
      <w:r>
        <w:rPr>
          <w:rFonts w:asciiTheme="minorHAnsi" w:eastAsia="Times New Roman" w:hAnsiTheme="minorHAnsi" w:cstheme="minorHAnsi"/>
          <w:sz w:val="24"/>
          <w:szCs w:val="24"/>
          <w:lang w:val="en-US" w:eastAsia="hu-HU"/>
        </w:rPr>
        <w:t xml:space="preserve">With due respect, it is submitted that the above-outlined reverse complaint and redress mechanism to be applied </w:t>
      </w:r>
      <w:r w:rsidRPr="003055E1">
        <w:rPr>
          <w:rFonts w:asciiTheme="minorHAnsi" w:eastAsia="Times New Roman" w:hAnsiTheme="minorHAnsi" w:cstheme="minorHAnsi"/>
          <w:i/>
          <w:sz w:val="24"/>
          <w:szCs w:val="24"/>
          <w:lang w:val="en-US" w:eastAsia="hu-HU"/>
        </w:rPr>
        <w:t>before</w:t>
      </w:r>
      <w:r>
        <w:rPr>
          <w:rFonts w:asciiTheme="minorHAnsi" w:eastAsia="Times New Roman" w:hAnsiTheme="minorHAnsi" w:cstheme="minorHAnsi"/>
          <w:sz w:val="24"/>
          <w:szCs w:val="24"/>
          <w:lang w:val="en-US" w:eastAsia="hu-HU"/>
        </w:rPr>
        <w:t xml:space="preserve"> – and as a </w:t>
      </w:r>
      <w:r w:rsidRPr="003055E1">
        <w:rPr>
          <w:rFonts w:asciiTheme="minorHAnsi" w:eastAsia="Times New Roman" w:hAnsiTheme="minorHAnsi" w:cstheme="minorHAnsi"/>
          <w:i/>
          <w:sz w:val="24"/>
          <w:szCs w:val="24"/>
          <w:lang w:val="en-US" w:eastAsia="hu-HU"/>
        </w:rPr>
        <w:t>precondition</w:t>
      </w:r>
      <w:r>
        <w:rPr>
          <w:rFonts w:asciiTheme="minorHAnsi" w:eastAsia="Times New Roman" w:hAnsiTheme="minorHAnsi" w:cstheme="minorHAnsi"/>
          <w:i/>
          <w:sz w:val="24"/>
          <w:szCs w:val="24"/>
          <w:lang w:val="en-US" w:eastAsia="hu-HU"/>
        </w:rPr>
        <w:t xml:space="preserve"> </w:t>
      </w:r>
      <w:r>
        <w:rPr>
          <w:rFonts w:asciiTheme="minorHAnsi" w:eastAsia="Times New Roman" w:hAnsiTheme="minorHAnsi" w:cstheme="minorHAnsi"/>
          <w:sz w:val="24"/>
          <w:szCs w:val="24"/>
          <w:lang w:val="en-US" w:eastAsia="hu-HU"/>
        </w:rPr>
        <w:t xml:space="preserve">of – the application of preventive measures foreseen in Article </w:t>
      </w:r>
      <w:r w:rsidR="002B0180">
        <w:rPr>
          <w:rFonts w:asciiTheme="minorHAnsi" w:eastAsia="Times New Roman" w:hAnsiTheme="minorHAnsi" w:cstheme="minorHAnsi"/>
          <w:sz w:val="24"/>
          <w:szCs w:val="24"/>
          <w:lang w:val="en-US" w:eastAsia="hu-HU"/>
        </w:rPr>
        <w:t>1</w:t>
      </w:r>
      <w:r>
        <w:rPr>
          <w:rFonts w:asciiTheme="minorHAnsi" w:eastAsia="Times New Roman" w:hAnsiTheme="minorHAnsi" w:cstheme="minorHAnsi"/>
          <w:sz w:val="24"/>
          <w:szCs w:val="24"/>
          <w:lang w:val="en-US" w:eastAsia="hu-HU"/>
        </w:rPr>
        <w:t>7(4)(b) and (c) would be in multiple conflict</w:t>
      </w:r>
      <w:r w:rsidR="00AB6A97">
        <w:rPr>
          <w:rFonts w:asciiTheme="minorHAnsi" w:eastAsia="Times New Roman" w:hAnsiTheme="minorHAnsi" w:cstheme="minorHAnsi"/>
          <w:sz w:val="24"/>
          <w:szCs w:val="24"/>
          <w:lang w:val="en-US" w:eastAsia="hu-HU"/>
        </w:rPr>
        <w:t>s</w:t>
      </w:r>
      <w:r>
        <w:rPr>
          <w:rFonts w:asciiTheme="minorHAnsi" w:eastAsia="Times New Roman" w:hAnsiTheme="minorHAnsi" w:cstheme="minorHAnsi"/>
          <w:sz w:val="24"/>
          <w:szCs w:val="24"/>
          <w:lang w:val="en-US" w:eastAsia="hu-HU"/>
        </w:rPr>
        <w:t xml:space="preserve"> with the letter, the meaning, the </w:t>
      </w:r>
      <w:r w:rsidR="00AB6A97">
        <w:rPr>
          <w:rFonts w:asciiTheme="minorHAnsi" w:eastAsia="Times New Roman" w:hAnsiTheme="minorHAnsi" w:cstheme="minorHAnsi"/>
          <w:sz w:val="24"/>
          <w:szCs w:val="24"/>
          <w:lang w:val="en-US" w:eastAsia="hu-HU"/>
        </w:rPr>
        <w:t>system</w:t>
      </w:r>
      <w:r>
        <w:rPr>
          <w:rFonts w:asciiTheme="minorHAnsi" w:eastAsia="Times New Roman" w:hAnsiTheme="minorHAnsi" w:cstheme="minorHAnsi"/>
          <w:sz w:val="24"/>
          <w:szCs w:val="24"/>
          <w:lang w:val="en-US" w:eastAsia="hu-HU"/>
        </w:rPr>
        <w:t xml:space="preserve"> and the </w:t>
      </w:r>
      <w:r w:rsidR="00B34A74">
        <w:rPr>
          <w:rFonts w:asciiTheme="minorHAnsi" w:eastAsia="Times New Roman" w:hAnsiTheme="minorHAnsi" w:cstheme="minorHAnsi"/>
          <w:sz w:val="24"/>
          <w:szCs w:val="24"/>
          <w:lang w:val="en-US" w:eastAsia="hu-HU"/>
        </w:rPr>
        <w:t>clearly</w:t>
      </w:r>
      <w:r>
        <w:rPr>
          <w:rFonts w:asciiTheme="minorHAnsi" w:eastAsia="Times New Roman" w:hAnsiTheme="minorHAnsi" w:cstheme="minorHAnsi"/>
          <w:sz w:val="24"/>
          <w:szCs w:val="24"/>
          <w:lang w:val="en-US" w:eastAsia="hu-HU"/>
        </w:rPr>
        <w:t xml:space="preserve"> stated </w:t>
      </w:r>
      <w:r w:rsidR="00AB6A97">
        <w:rPr>
          <w:rFonts w:asciiTheme="minorHAnsi" w:eastAsia="Times New Roman" w:hAnsiTheme="minorHAnsi" w:cstheme="minorHAnsi"/>
          <w:sz w:val="24"/>
          <w:szCs w:val="24"/>
          <w:lang w:val="en-US" w:eastAsia="hu-HU"/>
        </w:rPr>
        <w:t xml:space="preserve">(“teleological”) </w:t>
      </w:r>
      <w:r>
        <w:rPr>
          <w:rFonts w:asciiTheme="minorHAnsi" w:eastAsia="Times New Roman" w:hAnsiTheme="minorHAnsi" w:cstheme="minorHAnsi"/>
          <w:sz w:val="24"/>
          <w:szCs w:val="24"/>
          <w:lang w:val="en-US" w:eastAsia="hu-HU"/>
        </w:rPr>
        <w:t xml:space="preserve">objectives of the relevant provisions. </w:t>
      </w:r>
    </w:p>
    <w:p w14:paraId="15008001" w14:textId="77777777" w:rsidR="00A46F03" w:rsidRDefault="00A46F03" w:rsidP="00A46F03">
      <w:pPr>
        <w:jc w:val="both"/>
        <w:rPr>
          <w:rFonts w:asciiTheme="minorHAnsi" w:eastAsia="Times New Roman" w:hAnsiTheme="minorHAnsi" w:cstheme="minorHAnsi"/>
          <w:sz w:val="24"/>
          <w:szCs w:val="24"/>
          <w:lang w:val="en-US" w:eastAsia="hu-HU"/>
        </w:rPr>
      </w:pPr>
    </w:p>
    <w:p w14:paraId="4F3B6BF9" w14:textId="5D940948" w:rsidR="00F5427D" w:rsidRDefault="00A46F03" w:rsidP="00A46F03">
      <w:pPr>
        <w:jc w:val="both"/>
        <w:rPr>
          <w:rFonts w:asciiTheme="minorHAnsi" w:eastAsia="Times New Roman" w:hAnsiTheme="minorHAnsi" w:cstheme="minorHAnsi"/>
          <w:sz w:val="24"/>
          <w:szCs w:val="24"/>
          <w:lang w:val="en-US" w:eastAsia="hu-HU"/>
        </w:rPr>
      </w:pPr>
      <w:r>
        <w:rPr>
          <w:rFonts w:asciiTheme="minorHAnsi" w:eastAsia="Times New Roman" w:hAnsiTheme="minorHAnsi" w:cstheme="minorHAnsi"/>
          <w:sz w:val="24"/>
          <w:szCs w:val="24"/>
          <w:lang w:val="en-US" w:eastAsia="hu-HU"/>
        </w:rPr>
        <w:t>First, the categories of “prima facie” and non-prima facie infringements do not exist in the Directive</w:t>
      </w:r>
      <w:r w:rsidR="00AB6A97">
        <w:rPr>
          <w:rFonts w:asciiTheme="minorHAnsi" w:eastAsia="Times New Roman" w:hAnsiTheme="minorHAnsi" w:cstheme="minorHAnsi"/>
          <w:sz w:val="24"/>
          <w:szCs w:val="24"/>
          <w:lang w:val="en-US" w:eastAsia="hu-HU"/>
        </w:rPr>
        <w:t xml:space="preserve"> and there is no even indirect reference to anything that might be understood </w:t>
      </w:r>
      <w:r w:rsidR="0002332D">
        <w:rPr>
          <w:rFonts w:asciiTheme="minorHAnsi" w:eastAsia="Times New Roman" w:hAnsiTheme="minorHAnsi" w:cstheme="minorHAnsi"/>
          <w:sz w:val="24"/>
          <w:szCs w:val="24"/>
          <w:lang w:val="en-US" w:eastAsia="hu-HU"/>
        </w:rPr>
        <w:t xml:space="preserve">as </w:t>
      </w:r>
      <w:r w:rsidR="00AB6A97">
        <w:rPr>
          <w:rFonts w:asciiTheme="minorHAnsi" w:eastAsia="Times New Roman" w:hAnsiTheme="minorHAnsi" w:cstheme="minorHAnsi"/>
          <w:sz w:val="24"/>
          <w:szCs w:val="24"/>
          <w:lang w:val="en-US" w:eastAsia="hu-HU"/>
        </w:rPr>
        <w:t xml:space="preserve">the existence of such categories. This is telling in itself because, </w:t>
      </w:r>
      <w:r w:rsidR="00D663C1">
        <w:rPr>
          <w:rFonts w:asciiTheme="minorHAnsi" w:eastAsia="Times New Roman" w:hAnsiTheme="minorHAnsi" w:cstheme="minorHAnsi"/>
          <w:sz w:val="24"/>
          <w:szCs w:val="24"/>
          <w:lang w:val="en-US" w:eastAsia="hu-HU"/>
        </w:rPr>
        <w:t xml:space="preserve">if it were allowed to use them, it would fundamentally transform the application not only of </w:t>
      </w:r>
      <w:r>
        <w:rPr>
          <w:rFonts w:asciiTheme="minorHAnsi" w:eastAsia="Times New Roman" w:hAnsiTheme="minorHAnsi" w:cstheme="minorHAnsi"/>
          <w:sz w:val="24"/>
          <w:szCs w:val="24"/>
          <w:lang w:val="en-US" w:eastAsia="hu-HU"/>
        </w:rPr>
        <w:t xml:space="preserve">paragraph (9) </w:t>
      </w:r>
      <w:r w:rsidR="00AB6A97">
        <w:rPr>
          <w:rFonts w:asciiTheme="minorHAnsi" w:eastAsia="Times New Roman" w:hAnsiTheme="minorHAnsi" w:cstheme="minorHAnsi"/>
          <w:sz w:val="24"/>
          <w:szCs w:val="24"/>
          <w:lang w:val="en-US" w:eastAsia="hu-HU"/>
        </w:rPr>
        <w:t xml:space="preserve">of </w:t>
      </w:r>
      <w:r>
        <w:rPr>
          <w:rFonts w:asciiTheme="minorHAnsi" w:eastAsia="Times New Roman" w:hAnsiTheme="minorHAnsi" w:cstheme="minorHAnsi"/>
          <w:sz w:val="24"/>
          <w:szCs w:val="24"/>
          <w:lang w:val="en-US" w:eastAsia="hu-HU"/>
        </w:rPr>
        <w:t xml:space="preserve">Article </w:t>
      </w:r>
      <w:r w:rsidR="002B0180">
        <w:rPr>
          <w:rFonts w:asciiTheme="minorHAnsi" w:eastAsia="Times New Roman" w:hAnsiTheme="minorHAnsi" w:cstheme="minorHAnsi"/>
          <w:sz w:val="24"/>
          <w:szCs w:val="24"/>
          <w:lang w:val="en-US" w:eastAsia="hu-HU"/>
        </w:rPr>
        <w:t>1</w:t>
      </w:r>
      <w:r>
        <w:rPr>
          <w:rFonts w:asciiTheme="minorHAnsi" w:eastAsia="Times New Roman" w:hAnsiTheme="minorHAnsi" w:cstheme="minorHAnsi"/>
          <w:sz w:val="24"/>
          <w:szCs w:val="24"/>
          <w:lang w:val="en-US" w:eastAsia="hu-HU"/>
        </w:rPr>
        <w:t>7</w:t>
      </w:r>
      <w:r w:rsidR="00AB6A97">
        <w:rPr>
          <w:rFonts w:asciiTheme="minorHAnsi" w:eastAsia="Times New Roman" w:hAnsiTheme="minorHAnsi" w:cstheme="minorHAnsi"/>
          <w:sz w:val="24"/>
          <w:szCs w:val="24"/>
          <w:lang w:val="en-US" w:eastAsia="hu-HU"/>
        </w:rPr>
        <w:t xml:space="preserve"> but its entire complex structure</w:t>
      </w:r>
      <w:r w:rsidR="00D663C1">
        <w:rPr>
          <w:rFonts w:asciiTheme="minorHAnsi" w:eastAsia="Times New Roman" w:hAnsiTheme="minorHAnsi" w:cstheme="minorHAnsi"/>
          <w:sz w:val="24"/>
          <w:szCs w:val="24"/>
          <w:lang w:val="en-US" w:eastAsia="hu-HU"/>
        </w:rPr>
        <w:t xml:space="preserve">. The absence of any mention of such kinds of categories shows that the </w:t>
      </w:r>
      <w:r w:rsidR="00F5427D">
        <w:rPr>
          <w:rFonts w:asciiTheme="minorHAnsi" w:eastAsia="Times New Roman" w:hAnsiTheme="minorHAnsi" w:cstheme="minorHAnsi"/>
          <w:sz w:val="24"/>
          <w:szCs w:val="24"/>
          <w:lang w:val="en-US" w:eastAsia="hu-HU"/>
        </w:rPr>
        <w:t xml:space="preserve">recognition </w:t>
      </w:r>
      <w:r w:rsidR="00AB6A97">
        <w:rPr>
          <w:rFonts w:asciiTheme="minorHAnsi" w:eastAsia="Times New Roman" w:hAnsiTheme="minorHAnsi" w:cstheme="minorHAnsi"/>
          <w:sz w:val="24"/>
          <w:szCs w:val="24"/>
          <w:lang w:val="en-US" w:eastAsia="hu-HU"/>
        </w:rPr>
        <w:t>thereof</w:t>
      </w:r>
      <w:r w:rsidR="00C854BB">
        <w:rPr>
          <w:rFonts w:asciiTheme="minorHAnsi" w:eastAsia="Times New Roman" w:hAnsiTheme="minorHAnsi" w:cstheme="minorHAnsi"/>
          <w:sz w:val="24"/>
          <w:szCs w:val="24"/>
          <w:lang w:val="en-US" w:eastAsia="hu-HU"/>
        </w:rPr>
        <w:t>,</w:t>
      </w:r>
      <w:r w:rsidR="00AB6A97">
        <w:rPr>
          <w:rFonts w:asciiTheme="minorHAnsi" w:eastAsia="Times New Roman" w:hAnsiTheme="minorHAnsi" w:cstheme="minorHAnsi"/>
          <w:sz w:val="24"/>
          <w:szCs w:val="24"/>
          <w:lang w:val="en-US" w:eastAsia="hu-HU"/>
        </w:rPr>
        <w:t xml:space="preserve"> which would </w:t>
      </w:r>
      <w:r w:rsidR="00F5427D">
        <w:rPr>
          <w:rFonts w:asciiTheme="minorHAnsi" w:eastAsia="Times New Roman" w:hAnsiTheme="minorHAnsi" w:cstheme="minorHAnsi"/>
          <w:sz w:val="24"/>
          <w:szCs w:val="24"/>
          <w:lang w:val="en-US" w:eastAsia="hu-HU"/>
        </w:rPr>
        <w:t>seriously influenc</w:t>
      </w:r>
      <w:r w:rsidR="00AB6A97">
        <w:rPr>
          <w:rFonts w:asciiTheme="minorHAnsi" w:eastAsia="Times New Roman" w:hAnsiTheme="minorHAnsi" w:cstheme="minorHAnsi"/>
          <w:sz w:val="24"/>
          <w:szCs w:val="24"/>
          <w:lang w:val="en-US" w:eastAsia="hu-HU"/>
        </w:rPr>
        <w:t>e</w:t>
      </w:r>
      <w:r w:rsidR="00F5427D">
        <w:rPr>
          <w:rFonts w:asciiTheme="minorHAnsi" w:eastAsia="Times New Roman" w:hAnsiTheme="minorHAnsi" w:cstheme="minorHAnsi"/>
          <w:sz w:val="24"/>
          <w:szCs w:val="24"/>
          <w:lang w:val="en-US" w:eastAsia="hu-HU"/>
        </w:rPr>
        <w:t xml:space="preserve"> – in fact, </w:t>
      </w:r>
      <w:r w:rsidR="00AB6A97">
        <w:rPr>
          <w:rFonts w:asciiTheme="minorHAnsi" w:eastAsia="Times New Roman" w:hAnsiTheme="minorHAnsi" w:cstheme="minorHAnsi"/>
          <w:sz w:val="24"/>
          <w:szCs w:val="24"/>
          <w:lang w:val="en-US" w:eastAsia="hu-HU"/>
        </w:rPr>
        <w:t xml:space="preserve">would </w:t>
      </w:r>
      <w:r w:rsidR="00F5427D">
        <w:rPr>
          <w:rFonts w:asciiTheme="minorHAnsi" w:eastAsia="Times New Roman" w:hAnsiTheme="minorHAnsi" w:cstheme="minorHAnsi"/>
          <w:sz w:val="24"/>
          <w:szCs w:val="24"/>
          <w:lang w:val="en-US" w:eastAsia="hu-HU"/>
        </w:rPr>
        <w:t>undo – the finely tuned balance established in the Directive</w:t>
      </w:r>
      <w:r w:rsidR="00C854BB">
        <w:rPr>
          <w:rFonts w:asciiTheme="minorHAnsi" w:eastAsia="Times New Roman" w:hAnsiTheme="minorHAnsi" w:cstheme="minorHAnsi"/>
          <w:sz w:val="24"/>
          <w:szCs w:val="24"/>
          <w:lang w:val="en-US" w:eastAsia="hu-HU"/>
        </w:rPr>
        <w:t>,</w:t>
      </w:r>
      <w:r w:rsidR="00F5427D">
        <w:rPr>
          <w:rFonts w:asciiTheme="minorHAnsi" w:eastAsia="Times New Roman" w:hAnsiTheme="minorHAnsi" w:cstheme="minorHAnsi"/>
          <w:sz w:val="24"/>
          <w:szCs w:val="24"/>
          <w:lang w:val="en-US" w:eastAsia="hu-HU"/>
        </w:rPr>
        <w:t xml:space="preserve"> would not be acceptable.</w:t>
      </w:r>
    </w:p>
    <w:p w14:paraId="35A9FF7B" w14:textId="77777777" w:rsidR="00F5427D" w:rsidRDefault="00F5427D" w:rsidP="00A46F03">
      <w:pPr>
        <w:jc w:val="both"/>
        <w:rPr>
          <w:rFonts w:asciiTheme="minorHAnsi" w:eastAsia="Times New Roman" w:hAnsiTheme="minorHAnsi" w:cstheme="minorHAnsi"/>
          <w:sz w:val="24"/>
          <w:szCs w:val="24"/>
          <w:lang w:val="en-US" w:eastAsia="hu-HU"/>
        </w:rPr>
      </w:pPr>
    </w:p>
    <w:p w14:paraId="55BAEB39" w14:textId="6971FBE8" w:rsidR="00922CA7" w:rsidRDefault="00F5427D" w:rsidP="00A46F03">
      <w:pPr>
        <w:jc w:val="both"/>
        <w:rPr>
          <w:rFonts w:asciiTheme="minorHAnsi" w:eastAsia="Times New Roman" w:hAnsiTheme="minorHAnsi" w:cstheme="minorHAnsi"/>
          <w:sz w:val="24"/>
          <w:szCs w:val="24"/>
          <w:lang w:val="en-US" w:eastAsia="hu-HU"/>
        </w:rPr>
      </w:pPr>
      <w:r>
        <w:rPr>
          <w:rFonts w:asciiTheme="minorHAnsi" w:eastAsia="Times New Roman" w:hAnsiTheme="minorHAnsi" w:cstheme="minorHAnsi"/>
          <w:sz w:val="24"/>
          <w:szCs w:val="24"/>
          <w:lang w:val="en-US" w:eastAsia="hu-HU"/>
        </w:rPr>
        <w:t xml:space="preserve">Second, the provisions of Article </w:t>
      </w:r>
      <w:r w:rsidR="002B0180">
        <w:rPr>
          <w:rFonts w:asciiTheme="minorHAnsi" w:eastAsia="Times New Roman" w:hAnsiTheme="minorHAnsi" w:cstheme="minorHAnsi"/>
          <w:sz w:val="24"/>
          <w:szCs w:val="24"/>
          <w:lang w:val="en-US" w:eastAsia="hu-HU"/>
        </w:rPr>
        <w:t>1</w:t>
      </w:r>
      <w:r>
        <w:rPr>
          <w:rFonts w:asciiTheme="minorHAnsi" w:eastAsia="Times New Roman" w:hAnsiTheme="minorHAnsi" w:cstheme="minorHAnsi"/>
          <w:sz w:val="24"/>
          <w:szCs w:val="24"/>
          <w:lang w:val="en-US" w:eastAsia="hu-HU"/>
        </w:rPr>
        <w:t xml:space="preserve">7(4)(b) and (c) </w:t>
      </w:r>
      <w:r w:rsidR="00844038">
        <w:rPr>
          <w:rFonts w:asciiTheme="minorHAnsi" w:eastAsia="Times New Roman" w:hAnsiTheme="minorHAnsi" w:cstheme="minorHAnsi"/>
          <w:sz w:val="24"/>
          <w:szCs w:val="24"/>
          <w:lang w:val="en-US" w:eastAsia="hu-HU"/>
        </w:rPr>
        <w:t xml:space="preserve">are </w:t>
      </w:r>
      <w:r>
        <w:rPr>
          <w:rFonts w:asciiTheme="minorHAnsi" w:eastAsia="Times New Roman" w:hAnsiTheme="minorHAnsi" w:cstheme="minorHAnsi"/>
          <w:sz w:val="24"/>
          <w:szCs w:val="24"/>
          <w:lang w:val="en-US" w:eastAsia="hu-HU"/>
        </w:rPr>
        <w:t>unambiguous in that no such categorization is allowed if OCSSPs want to avoid liability for direct infringements; they must make “</w:t>
      </w:r>
      <w:r w:rsidRPr="00F5427D">
        <w:rPr>
          <w:rFonts w:asciiTheme="minorHAnsi" w:eastAsia="Times New Roman" w:hAnsiTheme="minorHAnsi" w:cstheme="minorHAnsi"/>
          <w:sz w:val="24"/>
          <w:szCs w:val="24"/>
          <w:lang w:val="en-US" w:eastAsia="hu-HU"/>
        </w:rPr>
        <w:t xml:space="preserve">best efforts </w:t>
      </w:r>
      <w:r w:rsidRPr="00544DB9">
        <w:rPr>
          <w:rFonts w:asciiTheme="minorHAnsi" w:eastAsia="Times New Roman" w:hAnsiTheme="minorHAnsi" w:cstheme="minorHAnsi"/>
          <w:i/>
          <w:sz w:val="24"/>
          <w:szCs w:val="24"/>
          <w:u w:val="single"/>
          <w:lang w:val="en-US" w:eastAsia="hu-HU"/>
        </w:rPr>
        <w:t xml:space="preserve">to ensure the unavailability </w:t>
      </w:r>
      <w:r w:rsidRPr="00392572">
        <w:rPr>
          <w:rFonts w:asciiTheme="minorHAnsi" w:eastAsia="Times New Roman" w:hAnsiTheme="minorHAnsi" w:cstheme="minorHAnsi"/>
          <w:sz w:val="24"/>
          <w:szCs w:val="24"/>
          <w:lang w:val="en-US" w:eastAsia="hu-HU"/>
        </w:rPr>
        <w:t>of specific works and other subject matter</w:t>
      </w:r>
      <w:r w:rsidRPr="00F5427D">
        <w:rPr>
          <w:rFonts w:asciiTheme="minorHAnsi" w:eastAsia="Times New Roman" w:hAnsiTheme="minorHAnsi" w:cstheme="minorHAnsi"/>
          <w:sz w:val="24"/>
          <w:szCs w:val="24"/>
          <w:lang w:val="en-US" w:eastAsia="hu-HU"/>
        </w:rPr>
        <w:t xml:space="preserve"> for which the rightholders have provided the service providers with the relevant and necessary informatio</w:t>
      </w:r>
      <w:r>
        <w:rPr>
          <w:rFonts w:asciiTheme="minorHAnsi" w:eastAsia="Times New Roman" w:hAnsiTheme="minorHAnsi" w:cstheme="minorHAnsi"/>
          <w:sz w:val="24"/>
          <w:szCs w:val="24"/>
          <w:lang w:val="en-US" w:eastAsia="hu-HU"/>
        </w:rPr>
        <w:t xml:space="preserve">n”; to ensure </w:t>
      </w:r>
      <w:r w:rsidR="00B34A74">
        <w:rPr>
          <w:rFonts w:asciiTheme="minorHAnsi" w:eastAsia="Times New Roman" w:hAnsiTheme="minorHAnsi" w:cstheme="minorHAnsi"/>
          <w:sz w:val="24"/>
          <w:szCs w:val="24"/>
          <w:lang w:val="en-US" w:eastAsia="hu-HU"/>
        </w:rPr>
        <w:t>unavailability</w:t>
      </w:r>
      <w:r>
        <w:rPr>
          <w:rFonts w:asciiTheme="minorHAnsi" w:eastAsia="Times New Roman" w:hAnsiTheme="minorHAnsi" w:cstheme="minorHAnsi"/>
          <w:sz w:val="24"/>
          <w:szCs w:val="24"/>
          <w:lang w:val="en-US" w:eastAsia="hu-HU"/>
        </w:rPr>
        <w:t xml:space="preserve"> not only </w:t>
      </w:r>
      <w:r w:rsidR="00D2229F">
        <w:rPr>
          <w:rFonts w:asciiTheme="minorHAnsi" w:eastAsia="Times New Roman" w:hAnsiTheme="minorHAnsi" w:cstheme="minorHAnsi"/>
          <w:sz w:val="24"/>
          <w:szCs w:val="24"/>
          <w:lang w:val="en-US" w:eastAsia="hu-HU"/>
        </w:rPr>
        <w:t xml:space="preserve">of </w:t>
      </w:r>
      <w:r>
        <w:rPr>
          <w:rFonts w:asciiTheme="minorHAnsi" w:eastAsia="Times New Roman" w:hAnsiTheme="minorHAnsi" w:cstheme="minorHAnsi"/>
          <w:sz w:val="24"/>
          <w:szCs w:val="24"/>
          <w:lang w:val="en-US" w:eastAsia="hu-HU"/>
        </w:rPr>
        <w:t xml:space="preserve">certain categories of specific works and other subject matter, but </w:t>
      </w:r>
      <w:r w:rsidR="00D2229F">
        <w:rPr>
          <w:rFonts w:asciiTheme="minorHAnsi" w:eastAsia="Times New Roman" w:hAnsiTheme="minorHAnsi" w:cstheme="minorHAnsi"/>
          <w:sz w:val="24"/>
          <w:szCs w:val="24"/>
          <w:lang w:val="en-US" w:eastAsia="hu-HU"/>
        </w:rPr>
        <w:t xml:space="preserve">of </w:t>
      </w:r>
      <w:r>
        <w:rPr>
          <w:rFonts w:asciiTheme="minorHAnsi" w:eastAsia="Times New Roman" w:hAnsiTheme="minorHAnsi" w:cstheme="minorHAnsi"/>
          <w:sz w:val="24"/>
          <w:szCs w:val="24"/>
          <w:lang w:val="en-US" w:eastAsia="hu-HU"/>
        </w:rPr>
        <w:t>any</w:t>
      </w:r>
      <w:r w:rsidR="00B34A74">
        <w:rPr>
          <w:rFonts w:asciiTheme="minorHAnsi" w:eastAsia="Times New Roman" w:hAnsiTheme="minorHAnsi" w:cstheme="minorHAnsi"/>
          <w:sz w:val="24"/>
          <w:szCs w:val="24"/>
          <w:lang w:val="en-US" w:eastAsia="hu-HU"/>
        </w:rPr>
        <w:t xml:space="preserve"> </w:t>
      </w:r>
      <w:r w:rsidR="00392572">
        <w:rPr>
          <w:rFonts w:asciiTheme="minorHAnsi" w:eastAsia="Times New Roman" w:hAnsiTheme="minorHAnsi" w:cstheme="minorHAnsi"/>
          <w:sz w:val="24"/>
          <w:szCs w:val="24"/>
          <w:lang w:val="en-US" w:eastAsia="hu-HU"/>
        </w:rPr>
        <w:t>for which such information has been provided</w:t>
      </w:r>
      <w:r>
        <w:rPr>
          <w:rFonts w:asciiTheme="minorHAnsi" w:eastAsia="Times New Roman" w:hAnsiTheme="minorHAnsi" w:cstheme="minorHAnsi"/>
          <w:sz w:val="24"/>
          <w:szCs w:val="24"/>
          <w:lang w:val="en-US" w:eastAsia="hu-HU"/>
        </w:rPr>
        <w:t xml:space="preserve">. </w:t>
      </w:r>
      <w:r w:rsidR="00922CA7">
        <w:rPr>
          <w:rFonts w:asciiTheme="minorHAnsi" w:eastAsia="Times New Roman" w:hAnsiTheme="minorHAnsi" w:cstheme="minorHAnsi"/>
          <w:sz w:val="24"/>
          <w:szCs w:val="24"/>
          <w:lang w:val="en-US" w:eastAsia="hu-HU"/>
        </w:rPr>
        <w:t xml:space="preserve">If there may be any “over-blocking”, it is the effective and expeditious complaint and redress mechanism </w:t>
      </w:r>
      <w:r w:rsidR="00844038">
        <w:rPr>
          <w:rFonts w:asciiTheme="minorHAnsi" w:eastAsia="Times New Roman" w:hAnsiTheme="minorHAnsi" w:cstheme="minorHAnsi"/>
          <w:sz w:val="24"/>
          <w:szCs w:val="24"/>
          <w:lang w:val="en-US" w:eastAsia="hu-HU"/>
        </w:rPr>
        <w:t xml:space="preserve">that </w:t>
      </w:r>
      <w:r w:rsidR="00922CA7">
        <w:rPr>
          <w:rFonts w:asciiTheme="minorHAnsi" w:eastAsia="Times New Roman" w:hAnsiTheme="minorHAnsi" w:cstheme="minorHAnsi"/>
          <w:sz w:val="24"/>
          <w:szCs w:val="24"/>
          <w:lang w:val="en-US" w:eastAsia="hu-HU"/>
        </w:rPr>
        <w:t xml:space="preserve">has to take care of it.  </w:t>
      </w:r>
    </w:p>
    <w:p w14:paraId="7EDEC5DE" w14:textId="77777777" w:rsidR="00922CA7" w:rsidRDefault="00922CA7" w:rsidP="00A46F03">
      <w:pPr>
        <w:jc w:val="both"/>
        <w:rPr>
          <w:rFonts w:asciiTheme="minorHAnsi" w:eastAsia="Times New Roman" w:hAnsiTheme="minorHAnsi" w:cstheme="minorHAnsi"/>
          <w:sz w:val="24"/>
          <w:szCs w:val="24"/>
          <w:lang w:val="en-US" w:eastAsia="hu-HU"/>
        </w:rPr>
      </w:pPr>
    </w:p>
    <w:p w14:paraId="4359BF86" w14:textId="54D9CFE4" w:rsidR="00F523C3" w:rsidRDefault="00922CA7" w:rsidP="00A46F03">
      <w:pPr>
        <w:jc w:val="both"/>
        <w:rPr>
          <w:rFonts w:asciiTheme="minorHAnsi" w:eastAsia="Times New Roman" w:hAnsiTheme="minorHAnsi" w:cstheme="minorHAnsi"/>
          <w:sz w:val="24"/>
          <w:szCs w:val="24"/>
          <w:lang w:val="en-US" w:eastAsia="hu-HU"/>
        </w:rPr>
      </w:pPr>
      <w:r>
        <w:rPr>
          <w:rFonts w:asciiTheme="minorHAnsi" w:eastAsia="Times New Roman" w:hAnsiTheme="minorHAnsi" w:cstheme="minorHAnsi"/>
          <w:sz w:val="24"/>
          <w:szCs w:val="24"/>
          <w:lang w:val="en-US" w:eastAsia="hu-HU"/>
        </w:rPr>
        <w:t xml:space="preserve">Third, therefore, it would not be a way of implementation of Article </w:t>
      </w:r>
      <w:r w:rsidR="002B0180">
        <w:rPr>
          <w:rFonts w:asciiTheme="minorHAnsi" w:eastAsia="Times New Roman" w:hAnsiTheme="minorHAnsi" w:cstheme="minorHAnsi"/>
          <w:sz w:val="24"/>
          <w:szCs w:val="24"/>
          <w:lang w:val="en-US" w:eastAsia="hu-HU"/>
        </w:rPr>
        <w:t>1</w:t>
      </w:r>
      <w:r>
        <w:rPr>
          <w:rFonts w:asciiTheme="minorHAnsi" w:eastAsia="Times New Roman" w:hAnsiTheme="minorHAnsi" w:cstheme="minorHAnsi"/>
          <w:sz w:val="24"/>
          <w:szCs w:val="24"/>
          <w:lang w:val="en-US" w:eastAsia="hu-HU"/>
        </w:rPr>
        <w:t>7(4)(</w:t>
      </w:r>
      <w:r w:rsidR="00A130AB">
        <w:rPr>
          <w:rFonts w:asciiTheme="minorHAnsi" w:eastAsia="Times New Roman" w:hAnsiTheme="minorHAnsi" w:cstheme="minorHAnsi"/>
          <w:sz w:val="24"/>
          <w:szCs w:val="24"/>
          <w:lang w:val="en-US" w:eastAsia="hu-HU"/>
        </w:rPr>
        <w:t>b</w:t>
      </w:r>
      <w:r>
        <w:rPr>
          <w:rFonts w:asciiTheme="minorHAnsi" w:eastAsia="Times New Roman" w:hAnsiTheme="minorHAnsi" w:cstheme="minorHAnsi"/>
          <w:sz w:val="24"/>
          <w:szCs w:val="24"/>
          <w:lang w:val="en-US" w:eastAsia="hu-HU"/>
        </w:rPr>
        <w:t>) and (</w:t>
      </w:r>
      <w:r w:rsidR="00A130AB">
        <w:rPr>
          <w:rFonts w:asciiTheme="minorHAnsi" w:eastAsia="Times New Roman" w:hAnsiTheme="minorHAnsi" w:cstheme="minorHAnsi"/>
          <w:sz w:val="24"/>
          <w:szCs w:val="24"/>
          <w:lang w:val="en-US" w:eastAsia="hu-HU"/>
        </w:rPr>
        <w:t>c</w:t>
      </w:r>
      <w:r>
        <w:rPr>
          <w:rFonts w:asciiTheme="minorHAnsi" w:eastAsia="Times New Roman" w:hAnsiTheme="minorHAnsi" w:cstheme="minorHAnsi"/>
          <w:sz w:val="24"/>
          <w:szCs w:val="24"/>
          <w:lang w:val="en-US" w:eastAsia="hu-HU"/>
        </w:rPr>
        <w:t>)</w:t>
      </w:r>
      <w:r w:rsidR="00392572">
        <w:rPr>
          <w:rFonts w:asciiTheme="minorHAnsi" w:eastAsia="Times New Roman" w:hAnsiTheme="minorHAnsi" w:cstheme="minorHAnsi"/>
          <w:sz w:val="24"/>
          <w:szCs w:val="24"/>
          <w:lang w:val="en-US" w:eastAsia="hu-HU"/>
        </w:rPr>
        <w:t>,</w:t>
      </w:r>
      <w:r>
        <w:rPr>
          <w:rFonts w:asciiTheme="minorHAnsi" w:eastAsia="Times New Roman" w:hAnsiTheme="minorHAnsi" w:cstheme="minorHAnsi"/>
          <w:sz w:val="24"/>
          <w:szCs w:val="24"/>
          <w:lang w:val="en-US" w:eastAsia="hu-HU"/>
        </w:rPr>
        <w:t xml:space="preserve"> but its fundamental </w:t>
      </w:r>
      <w:r w:rsidR="00F523C3">
        <w:rPr>
          <w:rFonts w:asciiTheme="minorHAnsi" w:eastAsia="Times New Roman" w:hAnsiTheme="minorHAnsi" w:cstheme="minorHAnsi"/>
          <w:sz w:val="24"/>
          <w:szCs w:val="24"/>
          <w:lang w:val="en-US" w:eastAsia="hu-HU"/>
        </w:rPr>
        <w:t>modification</w:t>
      </w:r>
      <w:r>
        <w:rPr>
          <w:rFonts w:asciiTheme="minorHAnsi" w:eastAsia="Times New Roman" w:hAnsiTheme="minorHAnsi" w:cstheme="minorHAnsi"/>
          <w:sz w:val="24"/>
          <w:szCs w:val="24"/>
          <w:lang w:val="en-US" w:eastAsia="hu-HU"/>
        </w:rPr>
        <w:t xml:space="preserve"> in conflict with th</w:t>
      </w:r>
      <w:r w:rsidR="00F523C3">
        <w:rPr>
          <w:rFonts w:asciiTheme="minorHAnsi" w:eastAsia="Times New Roman" w:hAnsiTheme="minorHAnsi" w:cstheme="minorHAnsi"/>
          <w:sz w:val="24"/>
          <w:szCs w:val="24"/>
          <w:lang w:val="en-US" w:eastAsia="hu-HU"/>
        </w:rPr>
        <w:t>ose provisions</w:t>
      </w:r>
      <w:r w:rsidR="00844038">
        <w:rPr>
          <w:rFonts w:asciiTheme="minorHAnsi" w:eastAsia="Times New Roman" w:hAnsiTheme="minorHAnsi" w:cstheme="minorHAnsi"/>
          <w:sz w:val="24"/>
          <w:szCs w:val="24"/>
          <w:lang w:val="en-US" w:eastAsia="hu-HU"/>
        </w:rPr>
        <w:t>,</w:t>
      </w:r>
      <w:r w:rsidR="00F523C3">
        <w:rPr>
          <w:rFonts w:asciiTheme="minorHAnsi" w:eastAsia="Times New Roman" w:hAnsiTheme="minorHAnsi" w:cstheme="minorHAnsi"/>
          <w:sz w:val="24"/>
          <w:szCs w:val="24"/>
          <w:lang w:val="en-US" w:eastAsia="hu-HU"/>
        </w:rPr>
        <w:t xml:space="preserve"> irrespective </w:t>
      </w:r>
      <w:r w:rsidR="00844038">
        <w:rPr>
          <w:rFonts w:asciiTheme="minorHAnsi" w:eastAsia="Times New Roman" w:hAnsiTheme="minorHAnsi" w:cstheme="minorHAnsi"/>
          <w:sz w:val="24"/>
          <w:szCs w:val="24"/>
          <w:lang w:val="en-US" w:eastAsia="hu-HU"/>
        </w:rPr>
        <w:t xml:space="preserve">of </w:t>
      </w:r>
      <w:r w:rsidR="00F523C3">
        <w:rPr>
          <w:rFonts w:asciiTheme="minorHAnsi" w:eastAsia="Times New Roman" w:hAnsiTheme="minorHAnsi" w:cstheme="minorHAnsi"/>
          <w:sz w:val="24"/>
          <w:szCs w:val="24"/>
          <w:lang w:val="en-US" w:eastAsia="hu-HU"/>
        </w:rPr>
        <w:t xml:space="preserve">what kinds of methods </w:t>
      </w:r>
      <w:r w:rsidR="00844038">
        <w:rPr>
          <w:rFonts w:asciiTheme="minorHAnsi" w:eastAsia="Times New Roman" w:hAnsiTheme="minorHAnsi" w:cstheme="minorHAnsi"/>
          <w:sz w:val="24"/>
          <w:szCs w:val="24"/>
          <w:lang w:val="en-US" w:eastAsia="hu-HU"/>
        </w:rPr>
        <w:t>is</w:t>
      </w:r>
      <w:r w:rsidR="00F523C3">
        <w:rPr>
          <w:rFonts w:asciiTheme="minorHAnsi" w:eastAsia="Times New Roman" w:hAnsiTheme="minorHAnsi" w:cstheme="minorHAnsi"/>
          <w:sz w:val="24"/>
          <w:szCs w:val="24"/>
          <w:lang w:val="en-US" w:eastAsia="hu-HU"/>
        </w:rPr>
        <w:t xml:space="preserve"> applied</w:t>
      </w:r>
      <w:r w:rsidR="00844038">
        <w:rPr>
          <w:rFonts w:asciiTheme="minorHAnsi" w:eastAsia="Times New Roman" w:hAnsiTheme="minorHAnsi" w:cstheme="minorHAnsi"/>
          <w:sz w:val="24"/>
          <w:szCs w:val="24"/>
          <w:lang w:val="en-US" w:eastAsia="hu-HU"/>
        </w:rPr>
        <w:t xml:space="preserve"> – </w:t>
      </w:r>
      <w:r w:rsidR="00F523C3">
        <w:rPr>
          <w:rFonts w:asciiTheme="minorHAnsi" w:eastAsia="Times New Roman" w:hAnsiTheme="minorHAnsi" w:cstheme="minorHAnsi"/>
          <w:sz w:val="24"/>
          <w:szCs w:val="24"/>
          <w:lang w:val="en-US" w:eastAsia="hu-HU"/>
        </w:rPr>
        <w:t xml:space="preserve">literal, </w:t>
      </w:r>
      <w:r w:rsidR="006A329D">
        <w:rPr>
          <w:rFonts w:asciiTheme="minorHAnsi" w:eastAsia="Times New Roman" w:hAnsiTheme="minorHAnsi" w:cstheme="minorHAnsi"/>
          <w:sz w:val="24"/>
          <w:szCs w:val="24"/>
          <w:lang w:val="en-US" w:eastAsia="hu-HU"/>
        </w:rPr>
        <w:t>systematic</w:t>
      </w:r>
      <w:r w:rsidR="00F523C3">
        <w:rPr>
          <w:rFonts w:asciiTheme="minorHAnsi" w:eastAsia="Times New Roman" w:hAnsiTheme="minorHAnsi" w:cstheme="minorHAnsi"/>
          <w:sz w:val="24"/>
          <w:szCs w:val="24"/>
          <w:lang w:val="en-US" w:eastAsia="hu-HU"/>
        </w:rPr>
        <w:t>, teleological, any</w:t>
      </w:r>
      <w:r w:rsidR="00844038">
        <w:rPr>
          <w:rFonts w:asciiTheme="minorHAnsi" w:eastAsia="Times New Roman" w:hAnsiTheme="minorHAnsi" w:cstheme="minorHAnsi"/>
          <w:sz w:val="24"/>
          <w:szCs w:val="24"/>
          <w:lang w:val="en-US" w:eastAsia="hu-HU"/>
        </w:rPr>
        <w:t xml:space="preserve"> – </w:t>
      </w:r>
      <w:r w:rsidR="00F523C3">
        <w:rPr>
          <w:rFonts w:asciiTheme="minorHAnsi" w:eastAsia="Times New Roman" w:hAnsiTheme="minorHAnsi" w:cstheme="minorHAnsi"/>
          <w:sz w:val="24"/>
          <w:szCs w:val="24"/>
          <w:lang w:val="en-US" w:eastAsia="hu-HU"/>
        </w:rPr>
        <w:t xml:space="preserve">for its interpretation if, </w:t>
      </w:r>
      <w:r w:rsidR="00844038">
        <w:rPr>
          <w:rFonts w:asciiTheme="minorHAnsi" w:eastAsia="Times New Roman" w:hAnsiTheme="minorHAnsi" w:cstheme="minorHAnsi"/>
          <w:sz w:val="24"/>
          <w:szCs w:val="24"/>
          <w:lang w:val="en-US" w:eastAsia="hu-HU"/>
        </w:rPr>
        <w:t xml:space="preserve">as </w:t>
      </w:r>
      <w:r>
        <w:rPr>
          <w:rFonts w:asciiTheme="minorHAnsi" w:eastAsia="Times New Roman" w:hAnsiTheme="minorHAnsi" w:cstheme="minorHAnsi"/>
          <w:sz w:val="24"/>
          <w:szCs w:val="24"/>
          <w:lang w:val="en-US" w:eastAsia="hu-HU"/>
        </w:rPr>
        <w:t xml:space="preserve"> suggested in the Recommendations, the OCSSPs  </w:t>
      </w:r>
      <w:r w:rsidR="00844038">
        <w:rPr>
          <w:rFonts w:asciiTheme="minorHAnsi" w:eastAsia="Times New Roman" w:hAnsiTheme="minorHAnsi" w:cstheme="minorHAnsi"/>
          <w:sz w:val="24"/>
          <w:szCs w:val="24"/>
          <w:lang w:val="en-US" w:eastAsia="hu-HU"/>
        </w:rPr>
        <w:t>c</w:t>
      </w:r>
      <w:r>
        <w:rPr>
          <w:rFonts w:asciiTheme="minorHAnsi" w:eastAsia="Times New Roman" w:hAnsiTheme="minorHAnsi" w:cstheme="minorHAnsi"/>
          <w:sz w:val="24"/>
          <w:szCs w:val="24"/>
          <w:lang w:val="en-US" w:eastAsia="hu-HU"/>
        </w:rPr>
        <w:t>ould avoid liability</w:t>
      </w:r>
      <w:r w:rsidR="00F523C3">
        <w:rPr>
          <w:rFonts w:asciiTheme="minorHAnsi" w:eastAsia="Times New Roman" w:hAnsiTheme="minorHAnsi" w:cstheme="minorHAnsi"/>
          <w:sz w:val="24"/>
          <w:szCs w:val="24"/>
          <w:lang w:val="en-US" w:eastAsia="hu-HU"/>
        </w:rPr>
        <w:t xml:space="preserve"> even </w:t>
      </w:r>
      <w:r w:rsidR="00844038">
        <w:rPr>
          <w:rFonts w:asciiTheme="minorHAnsi" w:eastAsia="Times New Roman" w:hAnsiTheme="minorHAnsi" w:cstheme="minorHAnsi"/>
          <w:sz w:val="24"/>
          <w:szCs w:val="24"/>
          <w:lang w:val="en-US" w:eastAsia="hu-HU"/>
        </w:rPr>
        <w:t>where</w:t>
      </w:r>
      <w:r w:rsidR="00F523C3">
        <w:rPr>
          <w:rFonts w:asciiTheme="minorHAnsi" w:eastAsia="Times New Roman" w:hAnsiTheme="minorHAnsi" w:cstheme="minorHAnsi"/>
          <w:sz w:val="24"/>
          <w:szCs w:val="24"/>
          <w:lang w:val="en-US" w:eastAsia="hu-HU"/>
        </w:rPr>
        <w:t xml:space="preserve">, at the end of the preliminary procedure </w:t>
      </w:r>
      <w:r w:rsidR="00392572">
        <w:rPr>
          <w:rFonts w:asciiTheme="minorHAnsi" w:eastAsia="Times New Roman" w:hAnsiTheme="minorHAnsi" w:cstheme="minorHAnsi"/>
          <w:sz w:val="24"/>
          <w:szCs w:val="24"/>
          <w:lang w:val="en-US" w:eastAsia="hu-HU"/>
        </w:rPr>
        <w:t>suggested</w:t>
      </w:r>
      <w:r w:rsidR="00F523C3">
        <w:rPr>
          <w:rFonts w:asciiTheme="minorHAnsi" w:eastAsia="Times New Roman" w:hAnsiTheme="minorHAnsi" w:cstheme="minorHAnsi"/>
          <w:sz w:val="24"/>
          <w:szCs w:val="24"/>
          <w:lang w:val="en-US" w:eastAsia="hu-HU"/>
        </w:rPr>
        <w:t xml:space="preserve"> in the Recommendations, it would turn out that the making available of the work or object of related rights was infringing. </w:t>
      </w:r>
    </w:p>
    <w:p w14:paraId="60C5828C" w14:textId="77777777" w:rsidR="005E63E4" w:rsidRDefault="005E63E4" w:rsidP="00A46F03">
      <w:pPr>
        <w:jc w:val="both"/>
        <w:rPr>
          <w:rFonts w:asciiTheme="minorHAnsi" w:eastAsia="Times New Roman" w:hAnsiTheme="minorHAnsi" w:cstheme="minorHAnsi"/>
          <w:sz w:val="24"/>
          <w:szCs w:val="24"/>
          <w:lang w:val="en-US" w:eastAsia="hu-HU"/>
        </w:rPr>
      </w:pPr>
    </w:p>
    <w:p w14:paraId="7BF1037D" w14:textId="142E3165" w:rsidR="003E697C" w:rsidRDefault="00F523C3" w:rsidP="00A46F03">
      <w:pPr>
        <w:jc w:val="both"/>
        <w:rPr>
          <w:rFonts w:asciiTheme="minorHAnsi" w:eastAsia="Times New Roman" w:hAnsiTheme="minorHAnsi" w:cstheme="minorHAnsi"/>
          <w:sz w:val="24"/>
          <w:szCs w:val="24"/>
          <w:lang w:val="en-US" w:eastAsia="hu-HU"/>
        </w:rPr>
      </w:pPr>
      <w:r>
        <w:rPr>
          <w:rFonts w:asciiTheme="minorHAnsi" w:eastAsia="Times New Roman" w:hAnsiTheme="minorHAnsi" w:cstheme="minorHAnsi"/>
          <w:sz w:val="24"/>
          <w:szCs w:val="24"/>
          <w:lang w:val="en-US" w:eastAsia="hu-HU"/>
        </w:rPr>
        <w:t>F</w:t>
      </w:r>
      <w:r w:rsidR="00280C9A">
        <w:rPr>
          <w:rFonts w:asciiTheme="minorHAnsi" w:eastAsia="Times New Roman" w:hAnsiTheme="minorHAnsi" w:cstheme="minorHAnsi"/>
          <w:sz w:val="24"/>
          <w:szCs w:val="24"/>
          <w:lang w:val="en-US" w:eastAsia="hu-HU"/>
        </w:rPr>
        <w:t>ou</w:t>
      </w:r>
      <w:r w:rsidR="005E63E4">
        <w:rPr>
          <w:rFonts w:asciiTheme="minorHAnsi" w:eastAsia="Times New Roman" w:hAnsiTheme="minorHAnsi" w:cstheme="minorHAnsi"/>
          <w:sz w:val="24"/>
          <w:szCs w:val="24"/>
          <w:lang w:val="en-US" w:eastAsia="hu-HU"/>
        </w:rPr>
        <w:t>r</w:t>
      </w:r>
      <w:r w:rsidR="00280C9A">
        <w:rPr>
          <w:rFonts w:asciiTheme="minorHAnsi" w:eastAsia="Times New Roman" w:hAnsiTheme="minorHAnsi" w:cstheme="minorHAnsi"/>
          <w:sz w:val="24"/>
          <w:szCs w:val="24"/>
          <w:lang w:val="en-US" w:eastAsia="hu-HU"/>
        </w:rPr>
        <w:t>th</w:t>
      </w:r>
      <w:r>
        <w:rPr>
          <w:rFonts w:asciiTheme="minorHAnsi" w:eastAsia="Times New Roman" w:hAnsiTheme="minorHAnsi" w:cstheme="minorHAnsi"/>
          <w:sz w:val="24"/>
          <w:szCs w:val="24"/>
          <w:lang w:val="en-US" w:eastAsia="hu-HU"/>
        </w:rPr>
        <w:t xml:space="preserve">, </w:t>
      </w:r>
      <w:r w:rsidR="00A130AB">
        <w:rPr>
          <w:rFonts w:asciiTheme="minorHAnsi" w:eastAsia="Times New Roman" w:hAnsiTheme="minorHAnsi" w:cstheme="minorHAnsi"/>
          <w:sz w:val="24"/>
          <w:szCs w:val="24"/>
          <w:lang w:val="en-US" w:eastAsia="hu-HU"/>
        </w:rPr>
        <w:t xml:space="preserve">under Article </w:t>
      </w:r>
      <w:r w:rsidR="002B0180">
        <w:rPr>
          <w:rFonts w:asciiTheme="minorHAnsi" w:eastAsia="Times New Roman" w:hAnsiTheme="minorHAnsi" w:cstheme="minorHAnsi"/>
          <w:sz w:val="24"/>
          <w:szCs w:val="24"/>
          <w:lang w:val="en-US" w:eastAsia="hu-HU"/>
        </w:rPr>
        <w:t>1</w:t>
      </w:r>
      <w:r w:rsidR="00A130AB">
        <w:rPr>
          <w:rFonts w:asciiTheme="minorHAnsi" w:eastAsia="Times New Roman" w:hAnsiTheme="minorHAnsi" w:cstheme="minorHAnsi"/>
          <w:sz w:val="24"/>
          <w:szCs w:val="24"/>
          <w:lang w:val="en-US" w:eastAsia="hu-HU"/>
        </w:rPr>
        <w:t xml:space="preserve">7(4)(b) and (c), it is an </w:t>
      </w:r>
      <w:r w:rsidR="00A130AB" w:rsidRPr="00A130AB">
        <w:rPr>
          <w:rFonts w:asciiTheme="minorHAnsi" w:eastAsia="Times New Roman" w:hAnsiTheme="minorHAnsi" w:cstheme="minorHAnsi"/>
          <w:i/>
          <w:sz w:val="24"/>
          <w:szCs w:val="24"/>
          <w:lang w:val="en-US" w:eastAsia="hu-HU"/>
        </w:rPr>
        <w:t>obligation</w:t>
      </w:r>
      <w:r w:rsidR="00A130AB">
        <w:rPr>
          <w:rFonts w:asciiTheme="minorHAnsi" w:eastAsia="Times New Roman" w:hAnsiTheme="minorHAnsi" w:cstheme="minorHAnsi"/>
          <w:sz w:val="24"/>
          <w:szCs w:val="24"/>
          <w:lang w:val="en-US" w:eastAsia="hu-HU"/>
        </w:rPr>
        <w:t xml:space="preserve"> to make </w:t>
      </w:r>
      <w:r w:rsidR="00A130AB" w:rsidRPr="00A130AB">
        <w:rPr>
          <w:rFonts w:asciiTheme="minorHAnsi" w:eastAsia="Times New Roman" w:hAnsiTheme="minorHAnsi" w:cstheme="minorHAnsi"/>
          <w:sz w:val="24"/>
          <w:szCs w:val="24"/>
          <w:lang w:val="en-US" w:eastAsia="hu-HU"/>
        </w:rPr>
        <w:t>best efforts to ensure the unavailability of specific works</w:t>
      </w:r>
      <w:r w:rsidR="00A130AB">
        <w:rPr>
          <w:rFonts w:asciiTheme="minorHAnsi" w:eastAsia="Times New Roman" w:hAnsiTheme="minorHAnsi" w:cstheme="minorHAnsi"/>
          <w:sz w:val="24"/>
          <w:szCs w:val="24"/>
          <w:lang w:val="en-US" w:eastAsia="hu-HU"/>
        </w:rPr>
        <w:t xml:space="preserve"> </w:t>
      </w:r>
      <w:r w:rsidR="006E5144">
        <w:rPr>
          <w:rFonts w:asciiTheme="minorHAnsi" w:eastAsia="Times New Roman" w:hAnsiTheme="minorHAnsi" w:cstheme="minorHAnsi"/>
          <w:sz w:val="24"/>
          <w:szCs w:val="24"/>
          <w:lang w:val="en-US" w:eastAsia="hu-HU"/>
        </w:rPr>
        <w:t xml:space="preserve">or other protected materials </w:t>
      </w:r>
      <w:r w:rsidR="00A130AB">
        <w:rPr>
          <w:rFonts w:asciiTheme="minorHAnsi" w:eastAsia="Times New Roman" w:hAnsiTheme="minorHAnsi" w:cstheme="minorHAnsi"/>
          <w:sz w:val="24"/>
          <w:szCs w:val="24"/>
          <w:lang w:val="en-US" w:eastAsia="hu-HU"/>
        </w:rPr>
        <w:t xml:space="preserve">in order to </w:t>
      </w:r>
      <w:r w:rsidR="006E5144">
        <w:rPr>
          <w:rFonts w:asciiTheme="minorHAnsi" w:eastAsia="Times New Roman" w:hAnsiTheme="minorHAnsi" w:cstheme="minorHAnsi"/>
          <w:sz w:val="24"/>
          <w:szCs w:val="24"/>
          <w:lang w:val="en-US" w:eastAsia="hu-HU"/>
        </w:rPr>
        <w:t xml:space="preserve">avoid </w:t>
      </w:r>
      <w:r w:rsidR="00A130AB">
        <w:rPr>
          <w:rFonts w:asciiTheme="minorHAnsi" w:eastAsia="Times New Roman" w:hAnsiTheme="minorHAnsi" w:cstheme="minorHAnsi"/>
          <w:sz w:val="24"/>
          <w:szCs w:val="24"/>
          <w:lang w:val="en-US" w:eastAsia="hu-HU"/>
        </w:rPr>
        <w:t>liab</w:t>
      </w:r>
      <w:r w:rsidR="006E5144">
        <w:rPr>
          <w:rFonts w:asciiTheme="minorHAnsi" w:eastAsia="Times New Roman" w:hAnsiTheme="minorHAnsi" w:cstheme="minorHAnsi"/>
          <w:sz w:val="24"/>
          <w:szCs w:val="24"/>
          <w:lang w:val="en-US" w:eastAsia="hu-HU"/>
        </w:rPr>
        <w:t xml:space="preserve">ility </w:t>
      </w:r>
      <w:r w:rsidR="00A130AB">
        <w:rPr>
          <w:rFonts w:asciiTheme="minorHAnsi" w:eastAsia="Times New Roman" w:hAnsiTheme="minorHAnsi" w:cstheme="minorHAnsi"/>
          <w:sz w:val="24"/>
          <w:szCs w:val="24"/>
          <w:lang w:val="en-US" w:eastAsia="hu-HU"/>
        </w:rPr>
        <w:t>for infringements. I</w:t>
      </w:r>
      <w:r w:rsidR="00A120C2">
        <w:rPr>
          <w:rFonts w:asciiTheme="minorHAnsi" w:eastAsia="Times New Roman" w:hAnsiTheme="minorHAnsi" w:cstheme="minorHAnsi"/>
          <w:sz w:val="24"/>
          <w:szCs w:val="24"/>
          <w:lang w:val="en-US" w:eastAsia="hu-HU"/>
        </w:rPr>
        <w:t>n contrast with this, it is suggested in the Recommendations that the</w:t>
      </w:r>
      <w:r w:rsidR="006E5144">
        <w:rPr>
          <w:rFonts w:asciiTheme="minorHAnsi" w:eastAsia="Times New Roman" w:hAnsiTheme="minorHAnsi" w:cstheme="minorHAnsi"/>
          <w:sz w:val="24"/>
          <w:szCs w:val="24"/>
          <w:lang w:val="en-US" w:eastAsia="hu-HU"/>
        </w:rPr>
        <w:t xml:space="preserve"> obligation</w:t>
      </w:r>
      <w:r w:rsidR="00A120C2">
        <w:rPr>
          <w:rFonts w:asciiTheme="minorHAnsi" w:eastAsia="Times New Roman" w:hAnsiTheme="minorHAnsi" w:cstheme="minorHAnsi"/>
          <w:sz w:val="24"/>
          <w:szCs w:val="24"/>
          <w:lang w:val="en-US" w:eastAsia="hu-HU"/>
        </w:rPr>
        <w:t xml:space="preserve"> </w:t>
      </w:r>
      <w:r w:rsidR="00844038">
        <w:rPr>
          <w:rFonts w:asciiTheme="minorHAnsi" w:eastAsia="Times New Roman" w:hAnsiTheme="minorHAnsi" w:cstheme="minorHAnsi"/>
          <w:sz w:val="24"/>
          <w:szCs w:val="24"/>
          <w:lang w:val="en-US" w:eastAsia="hu-HU"/>
        </w:rPr>
        <w:t>sh</w:t>
      </w:r>
      <w:r w:rsidR="00A120C2">
        <w:rPr>
          <w:rFonts w:asciiTheme="minorHAnsi" w:eastAsia="Times New Roman" w:hAnsiTheme="minorHAnsi" w:cstheme="minorHAnsi"/>
          <w:sz w:val="24"/>
          <w:szCs w:val="24"/>
          <w:lang w:val="en-US" w:eastAsia="hu-HU"/>
        </w:rPr>
        <w:t xml:space="preserve">ould be </w:t>
      </w:r>
      <w:r w:rsidR="00A130AB">
        <w:rPr>
          <w:rFonts w:asciiTheme="minorHAnsi" w:eastAsia="Times New Roman" w:hAnsiTheme="minorHAnsi" w:cstheme="minorHAnsi"/>
          <w:sz w:val="24"/>
          <w:szCs w:val="24"/>
          <w:lang w:val="en-US" w:eastAsia="hu-HU"/>
        </w:rPr>
        <w:t>transformed</w:t>
      </w:r>
      <w:r w:rsidR="006E5144">
        <w:rPr>
          <w:rFonts w:asciiTheme="minorHAnsi" w:eastAsia="Times New Roman" w:hAnsiTheme="minorHAnsi" w:cstheme="minorHAnsi"/>
          <w:sz w:val="24"/>
          <w:szCs w:val="24"/>
          <w:lang w:val="en-US" w:eastAsia="hu-HU"/>
        </w:rPr>
        <w:t xml:space="preserve"> in the course of </w:t>
      </w:r>
      <w:r w:rsidR="00A120C2">
        <w:rPr>
          <w:rFonts w:asciiTheme="minorHAnsi" w:eastAsia="Times New Roman" w:hAnsiTheme="minorHAnsi" w:cstheme="minorHAnsi"/>
          <w:sz w:val="24"/>
          <w:szCs w:val="24"/>
          <w:lang w:val="en-US" w:eastAsia="hu-HU"/>
        </w:rPr>
        <w:t xml:space="preserve">the </w:t>
      </w:r>
      <w:r w:rsidR="006E5144">
        <w:rPr>
          <w:rFonts w:asciiTheme="minorHAnsi" w:eastAsia="Times New Roman" w:hAnsiTheme="minorHAnsi" w:cstheme="minorHAnsi"/>
          <w:sz w:val="24"/>
          <w:szCs w:val="24"/>
          <w:lang w:val="en-US" w:eastAsia="hu-HU"/>
        </w:rPr>
        <w:t xml:space="preserve">“implementation” of the provisions </w:t>
      </w:r>
      <w:r w:rsidR="00844038">
        <w:rPr>
          <w:rFonts w:asciiTheme="minorHAnsi" w:eastAsia="Times New Roman" w:hAnsiTheme="minorHAnsi" w:cstheme="minorHAnsi"/>
          <w:sz w:val="24"/>
          <w:szCs w:val="24"/>
          <w:lang w:val="en-US" w:eastAsia="hu-HU"/>
        </w:rPr>
        <w:t>in</w:t>
      </w:r>
      <w:r w:rsidR="006E5144">
        <w:rPr>
          <w:rFonts w:asciiTheme="minorHAnsi" w:eastAsia="Times New Roman" w:hAnsiTheme="minorHAnsi" w:cstheme="minorHAnsi"/>
          <w:sz w:val="24"/>
          <w:szCs w:val="24"/>
          <w:lang w:val="en-US" w:eastAsia="hu-HU"/>
        </w:rPr>
        <w:t xml:space="preserve">to a </w:t>
      </w:r>
      <w:r w:rsidR="00A130AB" w:rsidRPr="00ED1FE8">
        <w:rPr>
          <w:rFonts w:asciiTheme="minorHAnsi" w:eastAsia="Times New Roman" w:hAnsiTheme="minorHAnsi" w:cstheme="minorHAnsi"/>
          <w:i/>
          <w:sz w:val="24"/>
          <w:szCs w:val="24"/>
          <w:lang w:val="en-US" w:eastAsia="hu-HU"/>
        </w:rPr>
        <w:t>prohibition</w:t>
      </w:r>
      <w:r w:rsidR="00A130AB">
        <w:rPr>
          <w:rFonts w:asciiTheme="minorHAnsi" w:eastAsia="Times New Roman" w:hAnsiTheme="minorHAnsi" w:cstheme="minorHAnsi"/>
          <w:sz w:val="24"/>
          <w:szCs w:val="24"/>
          <w:lang w:val="en-US" w:eastAsia="hu-HU"/>
        </w:rPr>
        <w:t xml:space="preserve"> of </w:t>
      </w:r>
      <w:r w:rsidR="006E5144">
        <w:rPr>
          <w:rFonts w:asciiTheme="minorHAnsi" w:eastAsia="Times New Roman" w:hAnsiTheme="minorHAnsi" w:cstheme="minorHAnsi"/>
          <w:sz w:val="24"/>
          <w:szCs w:val="24"/>
          <w:lang w:val="en-US" w:eastAsia="hu-HU"/>
        </w:rPr>
        <w:t xml:space="preserve">blocking </w:t>
      </w:r>
      <w:r w:rsidR="00EF038A">
        <w:rPr>
          <w:rFonts w:asciiTheme="minorHAnsi" w:eastAsia="Times New Roman" w:hAnsiTheme="minorHAnsi" w:cstheme="minorHAnsi"/>
          <w:sz w:val="24"/>
          <w:szCs w:val="24"/>
          <w:lang w:val="en-US" w:eastAsia="hu-HU"/>
        </w:rPr>
        <w:t xml:space="preserve">the </w:t>
      </w:r>
      <w:r w:rsidR="006E5144">
        <w:rPr>
          <w:rFonts w:asciiTheme="minorHAnsi" w:eastAsia="Times New Roman" w:hAnsiTheme="minorHAnsi" w:cstheme="minorHAnsi"/>
          <w:sz w:val="24"/>
          <w:szCs w:val="24"/>
          <w:lang w:val="en-US" w:eastAsia="hu-HU"/>
        </w:rPr>
        <w:t xml:space="preserve">availability </w:t>
      </w:r>
      <w:r w:rsidR="00844038">
        <w:rPr>
          <w:rFonts w:asciiTheme="minorHAnsi" w:eastAsia="Times New Roman" w:hAnsiTheme="minorHAnsi" w:cstheme="minorHAnsi"/>
          <w:sz w:val="24"/>
          <w:szCs w:val="24"/>
          <w:lang w:val="en-US" w:eastAsia="hu-HU"/>
        </w:rPr>
        <w:t xml:space="preserve">of </w:t>
      </w:r>
      <w:r w:rsidR="006E5144">
        <w:rPr>
          <w:rFonts w:asciiTheme="minorHAnsi" w:eastAsia="Times New Roman" w:hAnsiTheme="minorHAnsi" w:cstheme="minorHAnsi"/>
          <w:sz w:val="24"/>
          <w:szCs w:val="24"/>
          <w:lang w:val="en-US" w:eastAsia="hu-HU"/>
        </w:rPr>
        <w:t xml:space="preserve">or removing </w:t>
      </w:r>
      <w:r w:rsidR="00ED1FE8">
        <w:rPr>
          <w:rFonts w:asciiTheme="minorHAnsi" w:eastAsia="Times New Roman" w:hAnsiTheme="minorHAnsi" w:cstheme="minorHAnsi"/>
          <w:sz w:val="24"/>
          <w:szCs w:val="24"/>
          <w:lang w:val="en-US" w:eastAsia="hu-HU"/>
        </w:rPr>
        <w:t xml:space="preserve">uploads </w:t>
      </w:r>
      <w:r w:rsidR="00A130AB">
        <w:rPr>
          <w:rFonts w:asciiTheme="minorHAnsi" w:eastAsia="Times New Roman" w:hAnsiTheme="minorHAnsi" w:cstheme="minorHAnsi"/>
          <w:sz w:val="24"/>
          <w:szCs w:val="24"/>
          <w:lang w:val="en-US" w:eastAsia="hu-HU"/>
        </w:rPr>
        <w:t xml:space="preserve">in </w:t>
      </w:r>
      <w:r w:rsidR="00A120C2">
        <w:rPr>
          <w:rFonts w:asciiTheme="minorHAnsi" w:eastAsia="Times New Roman" w:hAnsiTheme="minorHAnsi" w:cstheme="minorHAnsi"/>
          <w:sz w:val="24"/>
          <w:szCs w:val="24"/>
          <w:lang w:val="en-US" w:eastAsia="hu-HU"/>
        </w:rPr>
        <w:t xml:space="preserve">the </w:t>
      </w:r>
      <w:r w:rsidR="00A130AB">
        <w:rPr>
          <w:rFonts w:asciiTheme="minorHAnsi" w:eastAsia="Times New Roman" w:hAnsiTheme="minorHAnsi" w:cstheme="minorHAnsi"/>
          <w:sz w:val="24"/>
          <w:szCs w:val="24"/>
          <w:lang w:val="en-US" w:eastAsia="hu-HU"/>
        </w:rPr>
        <w:t xml:space="preserve">case of the </w:t>
      </w:r>
      <w:r w:rsidR="00ED1FE8">
        <w:rPr>
          <w:rFonts w:asciiTheme="minorHAnsi" w:eastAsia="Times New Roman" w:hAnsiTheme="minorHAnsi" w:cstheme="minorHAnsi"/>
          <w:sz w:val="24"/>
          <w:szCs w:val="24"/>
          <w:lang w:val="en-US" w:eastAsia="hu-HU"/>
        </w:rPr>
        <w:t>(</w:t>
      </w:r>
      <w:r w:rsidR="00A130AB">
        <w:rPr>
          <w:rFonts w:asciiTheme="minorHAnsi" w:eastAsia="Times New Roman" w:hAnsiTheme="minorHAnsi" w:cstheme="minorHAnsi"/>
          <w:sz w:val="24"/>
          <w:szCs w:val="24"/>
          <w:lang w:val="en-US" w:eastAsia="hu-HU"/>
        </w:rPr>
        <w:t xml:space="preserve">in </w:t>
      </w:r>
      <w:r w:rsidR="00A120C2">
        <w:rPr>
          <w:rFonts w:asciiTheme="minorHAnsi" w:eastAsia="Times New Roman" w:hAnsiTheme="minorHAnsi" w:cstheme="minorHAnsi"/>
          <w:sz w:val="24"/>
          <w:szCs w:val="24"/>
          <w:lang w:val="en-US" w:eastAsia="hu-HU"/>
        </w:rPr>
        <w:t>t</w:t>
      </w:r>
      <w:r w:rsidR="00A130AB">
        <w:rPr>
          <w:rFonts w:asciiTheme="minorHAnsi" w:eastAsia="Times New Roman" w:hAnsiTheme="minorHAnsi" w:cstheme="minorHAnsi"/>
          <w:sz w:val="24"/>
          <w:szCs w:val="24"/>
          <w:lang w:val="en-US" w:eastAsia="hu-HU"/>
        </w:rPr>
        <w:t>he Directive non-existing</w:t>
      </w:r>
      <w:r w:rsidR="00ED1FE8">
        <w:rPr>
          <w:rFonts w:asciiTheme="minorHAnsi" w:eastAsia="Times New Roman" w:hAnsiTheme="minorHAnsi" w:cstheme="minorHAnsi"/>
          <w:sz w:val="24"/>
          <w:szCs w:val="24"/>
          <w:lang w:val="en-US" w:eastAsia="hu-HU"/>
        </w:rPr>
        <w:t>)</w:t>
      </w:r>
      <w:r w:rsidR="00A130AB">
        <w:rPr>
          <w:rFonts w:asciiTheme="minorHAnsi" w:eastAsia="Times New Roman" w:hAnsiTheme="minorHAnsi" w:cstheme="minorHAnsi"/>
          <w:sz w:val="24"/>
          <w:szCs w:val="24"/>
          <w:lang w:val="en-US" w:eastAsia="hu-HU"/>
        </w:rPr>
        <w:t xml:space="preserve"> broad category of </w:t>
      </w:r>
      <w:r w:rsidR="00A120C2">
        <w:rPr>
          <w:rFonts w:asciiTheme="minorHAnsi" w:eastAsia="Times New Roman" w:hAnsiTheme="minorHAnsi" w:cstheme="minorHAnsi"/>
          <w:sz w:val="24"/>
          <w:szCs w:val="24"/>
          <w:lang w:val="en-US" w:eastAsia="hu-HU"/>
        </w:rPr>
        <w:t>m</w:t>
      </w:r>
      <w:r w:rsidR="006E5144">
        <w:rPr>
          <w:rFonts w:asciiTheme="minorHAnsi" w:eastAsia="Times New Roman" w:hAnsiTheme="minorHAnsi" w:cstheme="minorHAnsi"/>
          <w:sz w:val="24"/>
          <w:szCs w:val="24"/>
          <w:lang w:val="en-US" w:eastAsia="hu-HU"/>
        </w:rPr>
        <w:t xml:space="preserve">aterials </w:t>
      </w:r>
      <w:r w:rsidR="00ED1FE8">
        <w:rPr>
          <w:rFonts w:asciiTheme="minorHAnsi" w:eastAsia="Times New Roman" w:hAnsiTheme="minorHAnsi" w:cstheme="minorHAnsi"/>
          <w:sz w:val="24"/>
          <w:szCs w:val="24"/>
          <w:lang w:val="en-US" w:eastAsia="hu-HU"/>
        </w:rPr>
        <w:t xml:space="preserve">the use of </w:t>
      </w:r>
      <w:r w:rsidR="006E5144">
        <w:rPr>
          <w:rFonts w:asciiTheme="minorHAnsi" w:eastAsia="Times New Roman" w:hAnsiTheme="minorHAnsi" w:cstheme="minorHAnsi"/>
          <w:sz w:val="24"/>
          <w:szCs w:val="24"/>
          <w:lang w:val="en-US" w:eastAsia="hu-HU"/>
        </w:rPr>
        <w:t xml:space="preserve">which </w:t>
      </w:r>
      <w:r w:rsidR="00844038">
        <w:rPr>
          <w:rFonts w:asciiTheme="minorHAnsi" w:eastAsia="Times New Roman" w:hAnsiTheme="minorHAnsi" w:cstheme="minorHAnsi"/>
          <w:sz w:val="24"/>
          <w:szCs w:val="24"/>
          <w:lang w:val="en-US" w:eastAsia="hu-HU"/>
        </w:rPr>
        <w:t>are</w:t>
      </w:r>
      <w:r w:rsidR="00A120C2">
        <w:rPr>
          <w:rFonts w:asciiTheme="minorHAnsi" w:eastAsia="Times New Roman" w:hAnsiTheme="minorHAnsi" w:cstheme="minorHAnsi"/>
          <w:sz w:val="24"/>
          <w:szCs w:val="24"/>
          <w:lang w:val="en-US" w:eastAsia="hu-HU"/>
        </w:rPr>
        <w:t xml:space="preserve"> not </w:t>
      </w:r>
      <w:r w:rsidR="00ED1FE8">
        <w:rPr>
          <w:rFonts w:asciiTheme="minorHAnsi" w:eastAsia="Times New Roman" w:hAnsiTheme="minorHAnsi" w:cstheme="minorHAnsi"/>
          <w:sz w:val="24"/>
          <w:szCs w:val="24"/>
          <w:lang w:val="en-US" w:eastAsia="hu-HU"/>
        </w:rPr>
        <w:t xml:space="preserve">fully </w:t>
      </w:r>
      <w:r w:rsidR="006E5144">
        <w:rPr>
          <w:rFonts w:asciiTheme="minorHAnsi" w:eastAsia="Times New Roman" w:hAnsiTheme="minorHAnsi" w:cstheme="minorHAnsi"/>
          <w:sz w:val="24"/>
          <w:szCs w:val="24"/>
          <w:lang w:val="en-US" w:eastAsia="hu-HU"/>
        </w:rPr>
        <w:t xml:space="preserve">identical </w:t>
      </w:r>
      <w:r w:rsidR="00844038">
        <w:rPr>
          <w:rFonts w:asciiTheme="minorHAnsi" w:eastAsia="Times New Roman" w:hAnsiTheme="minorHAnsi" w:cstheme="minorHAnsi"/>
          <w:sz w:val="24"/>
          <w:szCs w:val="24"/>
          <w:lang w:val="en-US" w:eastAsia="hu-HU"/>
        </w:rPr>
        <w:t xml:space="preserve">with </w:t>
      </w:r>
      <w:r w:rsidR="006E5144">
        <w:rPr>
          <w:rFonts w:asciiTheme="minorHAnsi" w:eastAsia="Times New Roman" w:hAnsiTheme="minorHAnsi" w:cstheme="minorHAnsi"/>
          <w:sz w:val="24"/>
          <w:szCs w:val="24"/>
          <w:lang w:val="en-US" w:eastAsia="hu-HU"/>
        </w:rPr>
        <w:t xml:space="preserve">or equivalent </w:t>
      </w:r>
      <w:r w:rsidR="00ED1FE8">
        <w:rPr>
          <w:rFonts w:asciiTheme="minorHAnsi" w:eastAsia="Times New Roman" w:hAnsiTheme="minorHAnsi" w:cstheme="minorHAnsi"/>
          <w:sz w:val="24"/>
          <w:szCs w:val="24"/>
          <w:lang w:val="en-US" w:eastAsia="hu-HU"/>
        </w:rPr>
        <w:t>of the works or objects of related rights for which due information has been made available</w:t>
      </w:r>
      <w:r w:rsidR="00A120C2">
        <w:rPr>
          <w:rFonts w:asciiTheme="minorHAnsi" w:eastAsia="Times New Roman" w:hAnsiTheme="minorHAnsi" w:cstheme="minorHAnsi"/>
          <w:sz w:val="24"/>
          <w:szCs w:val="24"/>
          <w:lang w:val="en-US" w:eastAsia="hu-HU"/>
        </w:rPr>
        <w:t>. Such transformation of</w:t>
      </w:r>
      <w:r w:rsidR="00844038">
        <w:rPr>
          <w:rFonts w:asciiTheme="minorHAnsi" w:eastAsia="Times New Roman" w:hAnsiTheme="minorHAnsi" w:cstheme="minorHAnsi"/>
          <w:sz w:val="24"/>
          <w:szCs w:val="24"/>
          <w:lang w:val="en-US" w:eastAsia="hu-HU"/>
        </w:rPr>
        <w:t xml:space="preserve"> the</w:t>
      </w:r>
      <w:r w:rsidR="00A120C2">
        <w:rPr>
          <w:rFonts w:asciiTheme="minorHAnsi" w:eastAsia="Times New Roman" w:hAnsiTheme="minorHAnsi" w:cstheme="minorHAnsi"/>
          <w:sz w:val="24"/>
          <w:szCs w:val="24"/>
          <w:lang w:val="en-US" w:eastAsia="hu-HU"/>
        </w:rPr>
        <w:t xml:space="preserve"> obligation </w:t>
      </w:r>
      <w:r w:rsidR="00844038">
        <w:rPr>
          <w:rFonts w:asciiTheme="minorHAnsi" w:eastAsia="Times New Roman" w:hAnsiTheme="minorHAnsi" w:cstheme="minorHAnsi"/>
          <w:sz w:val="24"/>
          <w:szCs w:val="24"/>
          <w:lang w:val="en-US" w:eastAsia="hu-HU"/>
        </w:rPr>
        <w:t>in</w:t>
      </w:r>
      <w:r w:rsidR="00A120C2">
        <w:rPr>
          <w:rFonts w:asciiTheme="minorHAnsi" w:eastAsia="Times New Roman" w:hAnsiTheme="minorHAnsi" w:cstheme="minorHAnsi"/>
          <w:sz w:val="24"/>
          <w:szCs w:val="24"/>
          <w:lang w:val="en-US" w:eastAsia="hu-HU"/>
        </w:rPr>
        <w:t xml:space="preserve">to permission would take place whenever </w:t>
      </w:r>
      <w:r w:rsidR="00ED1FE8">
        <w:rPr>
          <w:rFonts w:asciiTheme="minorHAnsi" w:eastAsia="Times New Roman" w:hAnsiTheme="minorHAnsi" w:cstheme="minorHAnsi"/>
          <w:sz w:val="24"/>
          <w:szCs w:val="24"/>
          <w:lang w:val="en-US" w:eastAsia="hu-HU"/>
        </w:rPr>
        <w:t xml:space="preserve">users </w:t>
      </w:r>
      <w:r w:rsidR="00A120C2">
        <w:rPr>
          <w:rFonts w:asciiTheme="minorHAnsi" w:eastAsia="Times New Roman" w:hAnsiTheme="minorHAnsi" w:cstheme="minorHAnsi"/>
          <w:sz w:val="24"/>
          <w:szCs w:val="24"/>
          <w:lang w:val="en-US" w:eastAsia="hu-HU"/>
        </w:rPr>
        <w:t xml:space="preserve">declared </w:t>
      </w:r>
      <w:r w:rsidR="00ED1FE8">
        <w:rPr>
          <w:rFonts w:asciiTheme="minorHAnsi" w:eastAsia="Times New Roman" w:hAnsiTheme="minorHAnsi" w:cstheme="minorHAnsi"/>
          <w:sz w:val="24"/>
          <w:szCs w:val="24"/>
          <w:lang w:val="en-US" w:eastAsia="hu-HU"/>
        </w:rPr>
        <w:t>their belief that the</w:t>
      </w:r>
      <w:r w:rsidR="00844038">
        <w:rPr>
          <w:rFonts w:asciiTheme="minorHAnsi" w:eastAsia="Times New Roman" w:hAnsiTheme="minorHAnsi" w:cstheme="minorHAnsi"/>
          <w:sz w:val="24"/>
          <w:szCs w:val="24"/>
          <w:lang w:val="en-US" w:eastAsia="hu-HU"/>
        </w:rPr>
        <w:t xml:space="preserve"> </w:t>
      </w:r>
      <w:r w:rsidR="00A120C2">
        <w:rPr>
          <w:rFonts w:asciiTheme="minorHAnsi" w:eastAsia="Times New Roman" w:hAnsiTheme="minorHAnsi" w:cstheme="minorHAnsi"/>
          <w:sz w:val="24"/>
          <w:szCs w:val="24"/>
          <w:lang w:val="en-US" w:eastAsia="hu-HU"/>
        </w:rPr>
        <w:t>upload</w:t>
      </w:r>
      <w:r w:rsidR="00844038">
        <w:rPr>
          <w:rFonts w:asciiTheme="minorHAnsi" w:eastAsia="Times New Roman" w:hAnsiTheme="minorHAnsi" w:cstheme="minorHAnsi"/>
          <w:sz w:val="24"/>
          <w:szCs w:val="24"/>
          <w:lang w:val="en-US" w:eastAsia="hu-HU"/>
        </w:rPr>
        <w:t>s are</w:t>
      </w:r>
      <w:r w:rsidR="00ED1FE8">
        <w:rPr>
          <w:rFonts w:asciiTheme="minorHAnsi" w:eastAsia="Times New Roman" w:hAnsiTheme="minorHAnsi" w:cstheme="minorHAnsi"/>
          <w:sz w:val="24"/>
          <w:szCs w:val="24"/>
          <w:lang w:val="en-US" w:eastAsia="hu-HU"/>
        </w:rPr>
        <w:t xml:space="preserve"> non-infringing. The idea of </w:t>
      </w:r>
      <w:r w:rsidR="00A120C2">
        <w:rPr>
          <w:rFonts w:asciiTheme="minorHAnsi" w:eastAsia="Times New Roman" w:hAnsiTheme="minorHAnsi" w:cstheme="minorHAnsi"/>
          <w:sz w:val="24"/>
          <w:szCs w:val="24"/>
          <w:lang w:val="en-US" w:eastAsia="hu-HU"/>
        </w:rPr>
        <w:t xml:space="preserve">such </w:t>
      </w:r>
      <w:r w:rsidR="00ED1FE8">
        <w:rPr>
          <w:rFonts w:asciiTheme="minorHAnsi" w:eastAsia="Times New Roman" w:hAnsiTheme="minorHAnsi" w:cstheme="minorHAnsi"/>
          <w:sz w:val="24"/>
          <w:szCs w:val="24"/>
          <w:lang w:val="en-US" w:eastAsia="hu-HU"/>
        </w:rPr>
        <w:t>transform</w:t>
      </w:r>
      <w:r w:rsidR="00844038">
        <w:rPr>
          <w:rFonts w:asciiTheme="minorHAnsi" w:eastAsia="Times New Roman" w:hAnsiTheme="minorHAnsi" w:cstheme="minorHAnsi"/>
          <w:sz w:val="24"/>
          <w:szCs w:val="24"/>
          <w:lang w:val="en-US" w:eastAsia="hu-HU"/>
        </w:rPr>
        <w:t xml:space="preserve">ation of </w:t>
      </w:r>
      <w:r w:rsidR="00A120C2">
        <w:rPr>
          <w:rFonts w:asciiTheme="minorHAnsi" w:eastAsia="Times New Roman" w:hAnsiTheme="minorHAnsi" w:cstheme="minorHAnsi"/>
          <w:sz w:val="24"/>
          <w:szCs w:val="24"/>
          <w:lang w:val="en-US" w:eastAsia="hu-HU"/>
        </w:rPr>
        <w:t xml:space="preserve">the </w:t>
      </w:r>
      <w:r w:rsidR="00ED1FE8">
        <w:rPr>
          <w:rFonts w:asciiTheme="minorHAnsi" w:eastAsia="Times New Roman" w:hAnsiTheme="minorHAnsi" w:cstheme="minorHAnsi"/>
          <w:sz w:val="24"/>
          <w:szCs w:val="24"/>
          <w:lang w:val="en-US" w:eastAsia="hu-HU"/>
        </w:rPr>
        <w:t xml:space="preserve">obligation </w:t>
      </w:r>
      <w:r w:rsidR="00392572">
        <w:rPr>
          <w:rFonts w:asciiTheme="minorHAnsi" w:eastAsia="Times New Roman" w:hAnsiTheme="minorHAnsi" w:cstheme="minorHAnsi"/>
          <w:sz w:val="24"/>
          <w:szCs w:val="24"/>
          <w:lang w:val="en-US" w:eastAsia="hu-HU"/>
        </w:rPr>
        <w:t xml:space="preserve">to act </w:t>
      </w:r>
      <w:r w:rsidR="00ED1FE8">
        <w:rPr>
          <w:rFonts w:asciiTheme="minorHAnsi" w:eastAsia="Times New Roman" w:hAnsiTheme="minorHAnsi" w:cstheme="minorHAnsi"/>
          <w:sz w:val="24"/>
          <w:szCs w:val="24"/>
          <w:lang w:val="en-US" w:eastAsia="hu-HU"/>
        </w:rPr>
        <w:t xml:space="preserve">into a prohibition </w:t>
      </w:r>
      <w:r w:rsidR="00392572">
        <w:rPr>
          <w:rFonts w:asciiTheme="minorHAnsi" w:eastAsia="Times New Roman" w:hAnsiTheme="minorHAnsi" w:cstheme="minorHAnsi"/>
          <w:sz w:val="24"/>
          <w:szCs w:val="24"/>
          <w:lang w:val="en-US" w:eastAsia="hu-HU"/>
        </w:rPr>
        <w:t xml:space="preserve">to act </w:t>
      </w:r>
      <w:r w:rsidR="00ED1FE8">
        <w:rPr>
          <w:rFonts w:asciiTheme="minorHAnsi" w:eastAsia="Times New Roman" w:hAnsiTheme="minorHAnsi" w:cstheme="minorHAnsi"/>
          <w:sz w:val="24"/>
          <w:szCs w:val="24"/>
          <w:lang w:val="en-US" w:eastAsia="hu-HU"/>
        </w:rPr>
        <w:t xml:space="preserve">is </w:t>
      </w:r>
      <w:r w:rsidR="00A120C2">
        <w:rPr>
          <w:rFonts w:asciiTheme="minorHAnsi" w:eastAsia="Times New Roman" w:hAnsiTheme="minorHAnsi" w:cstheme="minorHAnsi"/>
          <w:sz w:val="24"/>
          <w:szCs w:val="24"/>
          <w:lang w:val="en-US" w:eastAsia="hu-HU"/>
        </w:rPr>
        <w:t xml:space="preserve">clear on the basis of the sentence where it is stated </w:t>
      </w:r>
      <w:r w:rsidR="00A120C2" w:rsidRPr="003E697C">
        <w:rPr>
          <w:rFonts w:asciiTheme="minorHAnsi" w:eastAsia="Times New Roman" w:hAnsiTheme="minorHAnsi" w:cstheme="minorHAnsi"/>
          <w:sz w:val="24"/>
          <w:szCs w:val="24"/>
          <w:lang w:val="en-US" w:eastAsia="hu-HU"/>
        </w:rPr>
        <w:t>that “[i]f</w:t>
      </w:r>
      <w:r w:rsidR="00A120C2" w:rsidRPr="003E697C">
        <w:rPr>
          <w:rFonts w:asciiTheme="minorHAnsi" w:hAnsiTheme="minorHAnsi" w:cstheme="minorHAnsi"/>
          <w:sz w:val="24"/>
          <w:szCs w:val="24"/>
          <w:lang w:val="en-US"/>
        </w:rPr>
        <w:t xml:space="preserve"> a user does not provide that declaration within a reasonable period of time, during or following the upload process, then the OCSSP should be </w:t>
      </w:r>
      <w:r w:rsidR="00A120C2" w:rsidRPr="003E697C">
        <w:rPr>
          <w:rFonts w:asciiTheme="minorHAnsi" w:hAnsiTheme="minorHAnsi" w:cstheme="minorHAnsi"/>
          <w:i/>
          <w:sz w:val="24"/>
          <w:szCs w:val="24"/>
          <w:lang w:val="en-US"/>
        </w:rPr>
        <w:t>allowed</w:t>
      </w:r>
      <w:r w:rsidR="00392572">
        <w:rPr>
          <w:rFonts w:asciiTheme="minorHAnsi" w:hAnsiTheme="minorHAnsi" w:cstheme="minorHAnsi"/>
          <w:i/>
          <w:sz w:val="24"/>
          <w:szCs w:val="24"/>
          <w:lang w:val="en-US"/>
        </w:rPr>
        <w:t xml:space="preserve"> </w:t>
      </w:r>
      <w:r w:rsidR="00A120C2" w:rsidRPr="003E697C">
        <w:rPr>
          <w:rFonts w:asciiTheme="minorHAnsi" w:hAnsiTheme="minorHAnsi" w:cstheme="minorHAnsi"/>
          <w:sz w:val="24"/>
          <w:szCs w:val="24"/>
          <w:lang w:val="en-US"/>
        </w:rPr>
        <w:t>to disable or remove access to the content” (the emphasis on</w:t>
      </w:r>
      <w:r w:rsidR="003E697C" w:rsidRPr="003E697C">
        <w:rPr>
          <w:rFonts w:asciiTheme="minorHAnsi" w:hAnsiTheme="minorHAnsi" w:cstheme="minorHAnsi"/>
          <w:sz w:val="24"/>
          <w:szCs w:val="24"/>
          <w:lang w:val="en-US"/>
        </w:rPr>
        <w:t xml:space="preserve"> </w:t>
      </w:r>
      <w:r w:rsidR="00A120C2" w:rsidRPr="003E697C">
        <w:rPr>
          <w:rFonts w:asciiTheme="minorHAnsi" w:hAnsiTheme="minorHAnsi" w:cstheme="minorHAnsi"/>
          <w:sz w:val="24"/>
          <w:szCs w:val="24"/>
          <w:lang w:val="en-US"/>
        </w:rPr>
        <w:t xml:space="preserve">the word „allowed” </w:t>
      </w:r>
      <w:r w:rsidR="003E697C" w:rsidRPr="003E697C">
        <w:rPr>
          <w:rFonts w:asciiTheme="minorHAnsi" w:hAnsiTheme="minorHAnsi" w:cstheme="minorHAnsi"/>
          <w:sz w:val="24"/>
          <w:szCs w:val="24"/>
          <w:lang w:val="en-US"/>
        </w:rPr>
        <w:t xml:space="preserve">is </w:t>
      </w:r>
      <w:r w:rsidR="00844038">
        <w:rPr>
          <w:rFonts w:asciiTheme="minorHAnsi" w:hAnsiTheme="minorHAnsi" w:cstheme="minorHAnsi"/>
          <w:sz w:val="24"/>
          <w:szCs w:val="24"/>
          <w:lang w:val="en-US"/>
        </w:rPr>
        <w:t xml:space="preserve">in </w:t>
      </w:r>
      <w:r w:rsidR="003E697C" w:rsidRPr="003E697C">
        <w:rPr>
          <w:rFonts w:asciiTheme="minorHAnsi" w:hAnsiTheme="minorHAnsi" w:cstheme="minorHAnsi"/>
          <w:sz w:val="24"/>
          <w:szCs w:val="24"/>
          <w:lang w:val="en-US"/>
        </w:rPr>
        <w:t>the text quoted)</w:t>
      </w:r>
      <w:r w:rsidR="00A120C2" w:rsidRPr="003E697C">
        <w:rPr>
          <w:rFonts w:asciiTheme="minorHAnsi" w:hAnsiTheme="minorHAnsi" w:cstheme="minorHAnsi"/>
          <w:sz w:val="24"/>
          <w:szCs w:val="24"/>
          <w:lang w:val="en-US"/>
        </w:rPr>
        <w:t>.</w:t>
      </w:r>
      <w:r w:rsidR="00A120C2" w:rsidRPr="00A120C2">
        <w:rPr>
          <w:rFonts w:asciiTheme="minorHAnsi" w:eastAsia="Times New Roman" w:hAnsiTheme="minorHAnsi" w:cstheme="minorHAnsi"/>
          <w:sz w:val="24"/>
          <w:szCs w:val="24"/>
          <w:lang w:val="en-US" w:eastAsia="hu-HU"/>
        </w:rPr>
        <w:t xml:space="preserve">  </w:t>
      </w:r>
      <w:r w:rsidR="003E697C">
        <w:rPr>
          <w:rFonts w:asciiTheme="minorHAnsi" w:eastAsia="Times New Roman" w:hAnsiTheme="minorHAnsi" w:cstheme="minorHAnsi"/>
          <w:sz w:val="24"/>
          <w:szCs w:val="24"/>
          <w:lang w:val="en-US" w:eastAsia="hu-HU"/>
        </w:rPr>
        <w:t xml:space="preserve">It is hardly necessary to state that this idea is in conflict with the provisions of the Directive and </w:t>
      </w:r>
      <w:r w:rsidR="00844038">
        <w:rPr>
          <w:rFonts w:asciiTheme="minorHAnsi" w:eastAsia="Times New Roman" w:hAnsiTheme="minorHAnsi" w:cstheme="minorHAnsi"/>
          <w:sz w:val="24"/>
          <w:szCs w:val="24"/>
          <w:lang w:val="en-US" w:eastAsia="hu-HU"/>
        </w:rPr>
        <w:t xml:space="preserve">to </w:t>
      </w:r>
      <w:r w:rsidR="003E697C">
        <w:rPr>
          <w:rFonts w:asciiTheme="minorHAnsi" w:eastAsia="Times New Roman" w:hAnsiTheme="minorHAnsi" w:cstheme="minorHAnsi"/>
          <w:sz w:val="24"/>
          <w:szCs w:val="24"/>
          <w:lang w:val="en-US" w:eastAsia="hu-HU"/>
        </w:rPr>
        <w:t>elaborate on the obvious reasons.</w:t>
      </w:r>
    </w:p>
    <w:p w14:paraId="681FC652" w14:textId="77777777" w:rsidR="003E697C" w:rsidRDefault="003E697C" w:rsidP="00A46F03">
      <w:pPr>
        <w:jc w:val="both"/>
        <w:rPr>
          <w:rFonts w:asciiTheme="minorHAnsi" w:eastAsia="Times New Roman" w:hAnsiTheme="minorHAnsi" w:cstheme="minorHAnsi"/>
          <w:sz w:val="24"/>
          <w:szCs w:val="24"/>
          <w:lang w:val="en-US" w:eastAsia="hu-HU"/>
        </w:rPr>
      </w:pPr>
    </w:p>
    <w:p w14:paraId="260837FE" w14:textId="594ED8F3" w:rsidR="00E62FA1" w:rsidRDefault="00280C9A" w:rsidP="00A46F03">
      <w:pPr>
        <w:jc w:val="both"/>
        <w:rPr>
          <w:rFonts w:asciiTheme="minorHAnsi" w:eastAsia="Times New Roman" w:hAnsiTheme="minorHAnsi" w:cstheme="minorHAnsi"/>
          <w:sz w:val="24"/>
          <w:szCs w:val="24"/>
          <w:lang w:val="en-US" w:eastAsia="hu-HU"/>
        </w:rPr>
      </w:pPr>
      <w:r>
        <w:rPr>
          <w:rFonts w:asciiTheme="minorHAnsi" w:eastAsia="Times New Roman" w:hAnsiTheme="minorHAnsi" w:cstheme="minorHAnsi"/>
          <w:sz w:val="24"/>
          <w:szCs w:val="24"/>
          <w:lang w:val="en-US" w:eastAsia="hu-HU"/>
        </w:rPr>
        <w:t>Fifth</w:t>
      </w:r>
      <w:r w:rsidR="003E697C">
        <w:rPr>
          <w:rFonts w:asciiTheme="minorHAnsi" w:eastAsia="Times New Roman" w:hAnsiTheme="minorHAnsi" w:cstheme="minorHAnsi"/>
          <w:sz w:val="24"/>
          <w:szCs w:val="24"/>
          <w:lang w:val="en-US" w:eastAsia="hu-HU"/>
        </w:rPr>
        <w:t xml:space="preserve">, as discussed above, the provisions of the Directive make it clear that the complaint and redress mechanism is applicable </w:t>
      </w:r>
      <w:r w:rsidR="003E697C" w:rsidRPr="003E697C">
        <w:rPr>
          <w:rFonts w:asciiTheme="minorHAnsi" w:eastAsia="Times New Roman" w:hAnsiTheme="minorHAnsi" w:cstheme="minorHAnsi"/>
          <w:i/>
          <w:sz w:val="24"/>
          <w:szCs w:val="24"/>
          <w:lang w:val="en-US" w:eastAsia="hu-HU"/>
        </w:rPr>
        <w:t>after</w:t>
      </w:r>
      <w:r w:rsidR="003E697C">
        <w:rPr>
          <w:rFonts w:asciiTheme="minorHAnsi" w:eastAsia="Times New Roman" w:hAnsiTheme="minorHAnsi" w:cstheme="minorHAnsi"/>
          <w:sz w:val="24"/>
          <w:szCs w:val="24"/>
          <w:lang w:val="en-US" w:eastAsia="hu-HU"/>
        </w:rPr>
        <w:t xml:space="preserve"> an OCSSP has </w:t>
      </w:r>
      <w:r w:rsidR="00F0181A">
        <w:rPr>
          <w:rFonts w:asciiTheme="minorHAnsi" w:eastAsia="Times New Roman" w:hAnsiTheme="minorHAnsi" w:cstheme="minorHAnsi"/>
          <w:sz w:val="24"/>
          <w:szCs w:val="24"/>
          <w:lang w:val="en-US" w:eastAsia="hu-HU"/>
        </w:rPr>
        <w:t>taken</w:t>
      </w:r>
      <w:r w:rsidR="003E697C">
        <w:rPr>
          <w:rFonts w:asciiTheme="minorHAnsi" w:eastAsia="Times New Roman" w:hAnsiTheme="minorHAnsi" w:cstheme="minorHAnsi"/>
          <w:sz w:val="24"/>
          <w:szCs w:val="24"/>
          <w:lang w:val="en-US" w:eastAsia="hu-HU"/>
        </w:rPr>
        <w:t xml:space="preserve"> the steps provided in Article </w:t>
      </w:r>
      <w:r w:rsidR="002B0180">
        <w:rPr>
          <w:rFonts w:asciiTheme="minorHAnsi" w:eastAsia="Times New Roman" w:hAnsiTheme="minorHAnsi" w:cstheme="minorHAnsi"/>
          <w:sz w:val="24"/>
          <w:szCs w:val="24"/>
          <w:lang w:val="en-US" w:eastAsia="hu-HU"/>
        </w:rPr>
        <w:t>1</w:t>
      </w:r>
      <w:r w:rsidR="003E697C">
        <w:rPr>
          <w:rFonts w:asciiTheme="minorHAnsi" w:eastAsia="Times New Roman" w:hAnsiTheme="minorHAnsi" w:cstheme="minorHAnsi"/>
          <w:sz w:val="24"/>
          <w:szCs w:val="24"/>
          <w:lang w:val="en-US" w:eastAsia="hu-HU"/>
        </w:rPr>
        <w:t>7(4)</w:t>
      </w:r>
      <w:r w:rsidR="00E62FA1">
        <w:rPr>
          <w:rFonts w:asciiTheme="minorHAnsi" w:eastAsia="Times New Roman" w:hAnsiTheme="minorHAnsi" w:cstheme="minorHAnsi"/>
          <w:sz w:val="24"/>
          <w:szCs w:val="24"/>
          <w:lang w:val="en-US" w:eastAsia="hu-HU"/>
        </w:rPr>
        <w:t xml:space="preserve">(b) and (c) and </w:t>
      </w:r>
      <w:r w:rsidR="00844038">
        <w:rPr>
          <w:rFonts w:asciiTheme="minorHAnsi" w:eastAsia="Times New Roman" w:hAnsiTheme="minorHAnsi" w:cstheme="minorHAnsi"/>
          <w:sz w:val="24"/>
          <w:szCs w:val="24"/>
          <w:lang w:val="en-US" w:eastAsia="hu-HU"/>
        </w:rPr>
        <w:t>this</w:t>
      </w:r>
      <w:r w:rsidR="00E62FA1">
        <w:rPr>
          <w:rFonts w:asciiTheme="minorHAnsi" w:eastAsia="Times New Roman" w:hAnsiTheme="minorHAnsi" w:cstheme="minorHAnsi"/>
          <w:sz w:val="24"/>
          <w:szCs w:val="24"/>
          <w:lang w:val="en-US" w:eastAsia="hu-HU"/>
        </w:rPr>
        <w:t xml:space="preserve"> is confirmed explicitly in recital (61) as quoted above. No literal, </w:t>
      </w:r>
      <w:r w:rsidR="006A329D">
        <w:rPr>
          <w:rFonts w:asciiTheme="minorHAnsi" w:eastAsia="Times New Roman" w:hAnsiTheme="minorHAnsi" w:cstheme="minorHAnsi"/>
          <w:sz w:val="24"/>
          <w:szCs w:val="24"/>
          <w:lang w:val="en-US" w:eastAsia="hu-HU"/>
        </w:rPr>
        <w:t>systematic</w:t>
      </w:r>
      <w:r w:rsidR="00E62FA1">
        <w:rPr>
          <w:rFonts w:asciiTheme="minorHAnsi" w:eastAsia="Times New Roman" w:hAnsiTheme="minorHAnsi" w:cstheme="minorHAnsi"/>
          <w:sz w:val="24"/>
          <w:szCs w:val="24"/>
          <w:lang w:val="en-US" w:eastAsia="hu-HU"/>
        </w:rPr>
        <w:t xml:space="preserve"> or teleological interpretation may justify disregarding this and introduce instead a preliminary procedure during which the works and objects of related rights would continue being available.</w:t>
      </w:r>
    </w:p>
    <w:p w14:paraId="2458DCF3" w14:textId="77777777" w:rsidR="00E62FA1" w:rsidRDefault="00E62FA1" w:rsidP="00A46F03">
      <w:pPr>
        <w:jc w:val="both"/>
        <w:rPr>
          <w:rFonts w:asciiTheme="minorHAnsi" w:eastAsia="Times New Roman" w:hAnsiTheme="minorHAnsi" w:cstheme="minorHAnsi"/>
          <w:sz w:val="24"/>
          <w:szCs w:val="24"/>
          <w:lang w:val="en-US" w:eastAsia="hu-HU"/>
        </w:rPr>
      </w:pPr>
    </w:p>
    <w:p w14:paraId="0021094F" w14:textId="40E5C84B" w:rsidR="00206A81" w:rsidRDefault="00E62FA1" w:rsidP="00A46F03">
      <w:pPr>
        <w:jc w:val="both"/>
        <w:rPr>
          <w:rFonts w:asciiTheme="minorHAnsi" w:eastAsia="Times New Roman" w:hAnsiTheme="minorHAnsi" w:cstheme="minorHAnsi"/>
          <w:sz w:val="24"/>
          <w:szCs w:val="24"/>
          <w:lang w:val="en-US" w:eastAsia="hu-HU"/>
        </w:rPr>
      </w:pPr>
      <w:r>
        <w:rPr>
          <w:rFonts w:asciiTheme="minorHAnsi" w:eastAsia="Times New Roman" w:hAnsiTheme="minorHAnsi" w:cstheme="minorHAnsi"/>
          <w:sz w:val="24"/>
          <w:szCs w:val="24"/>
          <w:lang w:val="en-US" w:eastAsia="hu-HU"/>
        </w:rPr>
        <w:t>S</w:t>
      </w:r>
      <w:r w:rsidR="00280C9A">
        <w:rPr>
          <w:rFonts w:asciiTheme="minorHAnsi" w:eastAsia="Times New Roman" w:hAnsiTheme="minorHAnsi" w:cstheme="minorHAnsi"/>
          <w:sz w:val="24"/>
          <w:szCs w:val="24"/>
          <w:lang w:val="en-US" w:eastAsia="hu-HU"/>
        </w:rPr>
        <w:t>ixth</w:t>
      </w:r>
      <w:r>
        <w:rPr>
          <w:rFonts w:asciiTheme="minorHAnsi" w:eastAsia="Times New Roman" w:hAnsiTheme="minorHAnsi" w:cstheme="minorHAnsi"/>
          <w:sz w:val="24"/>
          <w:szCs w:val="24"/>
          <w:lang w:val="en-US" w:eastAsia="hu-HU"/>
        </w:rPr>
        <w:t xml:space="preserve">, </w:t>
      </w:r>
      <w:r w:rsidR="001E3F1D">
        <w:rPr>
          <w:rFonts w:asciiTheme="minorHAnsi" w:eastAsia="Times New Roman" w:hAnsiTheme="minorHAnsi" w:cstheme="minorHAnsi"/>
          <w:sz w:val="24"/>
          <w:szCs w:val="24"/>
          <w:lang w:val="en-US" w:eastAsia="hu-HU"/>
        </w:rPr>
        <w:t xml:space="preserve">in Article </w:t>
      </w:r>
      <w:r w:rsidR="002B0180">
        <w:rPr>
          <w:rFonts w:asciiTheme="minorHAnsi" w:eastAsia="Times New Roman" w:hAnsiTheme="minorHAnsi" w:cstheme="minorHAnsi"/>
          <w:sz w:val="24"/>
          <w:szCs w:val="24"/>
          <w:lang w:val="en-US" w:eastAsia="hu-HU"/>
        </w:rPr>
        <w:t>1</w:t>
      </w:r>
      <w:r w:rsidR="001E3F1D">
        <w:rPr>
          <w:rFonts w:asciiTheme="minorHAnsi" w:eastAsia="Times New Roman" w:hAnsiTheme="minorHAnsi" w:cstheme="minorHAnsi"/>
          <w:sz w:val="24"/>
          <w:szCs w:val="24"/>
          <w:lang w:val="en-US" w:eastAsia="hu-HU"/>
        </w:rPr>
        <w:t xml:space="preserve">7(9), </w:t>
      </w:r>
      <w:r>
        <w:rPr>
          <w:rFonts w:asciiTheme="minorHAnsi" w:eastAsia="Times New Roman" w:hAnsiTheme="minorHAnsi" w:cstheme="minorHAnsi"/>
          <w:sz w:val="24"/>
          <w:szCs w:val="24"/>
          <w:lang w:val="en-US" w:eastAsia="hu-HU"/>
        </w:rPr>
        <w:t xml:space="preserve">the </w:t>
      </w:r>
      <w:r w:rsidR="001E3F1D">
        <w:rPr>
          <w:rFonts w:asciiTheme="minorHAnsi" w:eastAsia="Times New Roman" w:hAnsiTheme="minorHAnsi" w:cstheme="minorHAnsi"/>
          <w:sz w:val="24"/>
          <w:szCs w:val="24"/>
          <w:lang w:val="en-US" w:eastAsia="hu-HU"/>
        </w:rPr>
        <w:t xml:space="preserve">effective and expeditious </w:t>
      </w:r>
      <w:r>
        <w:rPr>
          <w:rFonts w:asciiTheme="minorHAnsi" w:eastAsia="Times New Roman" w:hAnsiTheme="minorHAnsi" w:cstheme="minorHAnsi"/>
          <w:sz w:val="24"/>
          <w:szCs w:val="24"/>
          <w:lang w:val="en-US" w:eastAsia="hu-HU"/>
        </w:rPr>
        <w:t>compl</w:t>
      </w:r>
      <w:r w:rsidR="001E3F1D">
        <w:rPr>
          <w:rFonts w:asciiTheme="minorHAnsi" w:eastAsia="Times New Roman" w:hAnsiTheme="minorHAnsi" w:cstheme="minorHAnsi"/>
          <w:sz w:val="24"/>
          <w:szCs w:val="24"/>
          <w:lang w:val="en-US" w:eastAsia="hu-HU"/>
        </w:rPr>
        <w:t>aint</w:t>
      </w:r>
      <w:r>
        <w:rPr>
          <w:rFonts w:asciiTheme="minorHAnsi" w:eastAsia="Times New Roman" w:hAnsiTheme="minorHAnsi" w:cstheme="minorHAnsi"/>
          <w:sz w:val="24"/>
          <w:szCs w:val="24"/>
          <w:lang w:val="en-US" w:eastAsia="hu-HU"/>
        </w:rPr>
        <w:t xml:space="preserve"> and redress mechanism is </w:t>
      </w:r>
      <w:r w:rsidR="001E3F1D">
        <w:rPr>
          <w:rFonts w:asciiTheme="minorHAnsi" w:eastAsia="Times New Roman" w:hAnsiTheme="minorHAnsi" w:cstheme="minorHAnsi"/>
          <w:sz w:val="24"/>
          <w:szCs w:val="24"/>
          <w:lang w:val="en-US" w:eastAsia="hu-HU"/>
        </w:rPr>
        <w:t xml:space="preserve">provided </w:t>
      </w:r>
      <w:r>
        <w:rPr>
          <w:rFonts w:asciiTheme="minorHAnsi" w:eastAsia="Times New Roman" w:hAnsiTheme="minorHAnsi" w:cstheme="minorHAnsi"/>
          <w:sz w:val="24"/>
          <w:szCs w:val="24"/>
          <w:lang w:val="en-US" w:eastAsia="hu-HU"/>
        </w:rPr>
        <w:t xml:space="preserve">to </w:t>
      </w:r>
      <w:r w:rsidR="001E3F1D">
        <w:rPr>
          <w:rFonts w:asciiTheme="minorHAnsi" w:eastAsia="Times New Roman" w:hAnsiTheme="minorHAnsi" w:cstheme="minorHAnsi"/>
          <w:sz w:val="24"/>
          <w:szCs w:val="24"/>
          <w:lang w:val="en-US" w:eastAsia="hu-HU"/>
        </w:rPr>
        <w:t xml:space="preserve">be </w:t>
      </w:r>
      <w:r w:rsidR="006E435E" w:rsidRPr="006E435E">
        <w:rPr>
          <w:rFonts w:asciiTheme="minorHAnsi" w:eastAsia="Times New Roman" w:hAnsiTheme="minorHAnsi" w:cstheme="minorHAnsi"/>
          <w:i/>
          <w:sz w:val="24"/>
          <w:szCs w:val="24"/>
          <w:lang w:val="en-US" w:eastAsia="hu-HU"/>
        </w:rPr>
        <w:t>available to</w:t>
      </w:r>
      <w:r w:rsidRPr="006E435E">
        <w:rPr>
          <w:rFonts w:asciiTheme="minorHAnsi" w:eastAsia="Times New Roman" w:hAnsiTheme="minorHAnsi" w:cstheme="minorHAnsi"/>
          <w:i/>
          <w:sz w:val="24"/>
          <w:szCs w:val="24"/>
          <w:lang w:val="en-US" w:eastAsia="hu-HU"/>
        </w:rPr>
        <w:t xml:space="preserve"> users</w:t>
      </w:r>
      <w:r w:rsidR="001E3F1D">
        <w:rPr>
          <w:rFonts w:asciiTheme="minorHAnsi" w:eastAsia="Times New Roman" w:hAnsiTheme="minorHAnsi" w:cstheme="minorHAnsi"/>
          <w:sz w:val="24"/>
          <w:szCs w:val="24"/>
          <w:lang w:val="en-US" w:eastAsia="hu-HU"/>
        </w:rPr>
        <w:t xml:space="preserve"> in case of </w:t>
      </w:r>
      <w:r w:rsidR="00F11765">
        <w:rPr>
          <w:rFonts w:asciiTheme="minorHAnsi" w:eastAsia="Times New Roman" w:hAnsiTheme="minorHAnsi" w:cstheme="minorHAnsi"/>
          <w:sz w:val="24"/>
          <w:szCs w:val="24"/>
          <w:lang w:val="en-US" w:eastAsia="hu-HU"/>
        </w:rPr>
        <w:t xml:space="preserve">the </w:t>
      </w:r>
      <w:r w:rsidR="001E3F1D">
        <w:rPr>
          <w:rFonts w:asciiTheme="minorHAnsi" w:eastAsia="Times New Roman" w:hAnsiTheme="minorHAnsi" w:cstheme="minorHAnsi"/>
          <w:sz w:val="24"/>
          <w:szCs w:val="24"/>
          <w:lang w:val="en-US" w:eastAsia="hu-HU"/>
        </w:rPr>
        <w:t xml:space="preserve">blocking </w:t>
      </w:r>
      <w:r w:rsidR="00F11765">
        <w:rPr>
          <w:rFonts w:asciiTheme="minorHAnsi" w:eastAsia="Times New Roman" w:hAnsiTheme="minorHAnsi" w:cstheme="minorHAnsi"/>
          <w:sz w:val="24"/>
          <w:szCs w:val="24"/>
          <w:lang w:val="en-US" w:eastAsia="hu-HU"/>
        </w:rPr>
        <w:t xml:space="preserve">of </w:t>
      </w:r>
      <w:r w:rsidR="001E3F1D">
        <w:rPr>
          <w:rFonts w:asciiTheme="minorHAnsi" w:eastAsia="Times New Roman" w:hAnsiTheme="minorHAnsi" w:cstheme="minorHAnsi"/>
          <w:sz w:val="24"/>
          <w:szCs w:val="24"/>
          <w:lang w:val="en-US" w:eastAsia="hu-HU"/>
        </w:rPr>
        <w:t>access to, or remov</w:t>
      </w:r>
      <w:r w:rsidR="00F11765">
        <w:rPr>
          <w:rFonts w:asciiTheme="minorHAnsi" w:eastAsia="Times New Roman" w:hAnsiTheme="minorHAnsi" w:cstheme="minorHAnsi"/>
          <w:sz w:val="24"/>
          <w:szCs w:val="24"/>
          <w:lang w:val="en-US" w:eastAsia="hu-HU"/>
        </w:rPr>
        <w:t>al of</w:t>
      </w:r>
      <w:r w:rsidR="001E3F1D">
        <w:rPr>
          <w:rFonts w:asciiTheme="minorHAnsi" w:eastAsia="Times New Roman" w:hAnsiTheme="minorHAnsi" w:cstheme="minorHAnsi"/>
          <w:sz w:val="24"/>
          <w:szCs w:val="24"/>
          <w:lang w:val="en-US" w:eastAsia="hu-HU"/>
        </w:rPr>
        <w:t>, their</w:t>
      </w:r>
      <w:r w:rsidR="00AF3B48">
        <w:rPr>
          <w:rFonts w:asciiTheme="minorHAnsi" w:eastAsia="Times New Roman" w:hAnsiTheme="minorHAnsi" w:cstheme="minorHAnsi"/>
          <w:sz w:val="24"/>
          <w:szCs w:val="24"/>
          <w:lang w:val="en-US" w:eastAsia="hu-HU"/>
        </w:rPr>
        <w:t xml:space="preserve"> </w:t>
      </w:r>
      <w:r w:rsidR="001E3F1D">
        <w:rPr>
          <w:rFonts w:asciiTheme="minorHAnsi" w:eastAsia="Times New Roman" w:hAnsiTheme="minorHAnsi" w:cstheme="minorHAnsi"/>
          <w:sz w:val="24"/>
          <w:szCs w:val="24"/>
          <w:lang w:val="en-US" w:eastAsia="hu-HU"/>
        </w:rPr>
        <w:t xml:space="preserve">uploads. There is no basis in the provisions of the Article to transform it </w:t>
      </w:r>
      <w:r w:rsidR="00844038">
        <w:rPr>
          <w:rFonts w:asciiTheme="minorHAnsi" w:eastAsia="Times New Roman" w:hAnsiTheme="minorHAnsi" w:cstheme="minorHAnsi"/>
          <w:sz w:val="24"/>
          <w:szCs w:val="24"/>
          <w:lang w:val="en-US" w:eastAsia="hu-HU"/>
        </w:rPr>
        <w:t>in</w:t>
      </w:r>
      <w:r w:rsidR="001E3F1D">
        <w:rPr>
          <w:rFonts w:asciiTheme="minorHAnsi" w:eastAsia="Times New Roman" w:hAnsiTheme="minorHAnsi" w:cstheme="minorHAnsi"/>
          <w:sz w:val="24"/>
          <w:szCs w:val="24"/>
          <w:lang w:val="en-US" w:eastAsia="hu-HU"/>
        </w:rPr>
        <w:t xml:space="preserve">to a mechanism, as the Recommendations suggest, </w:t>
      </w:r>
      <w:r w:rsidR="001E3F1D" w:rsidRPr="006E435E">
        <w:rPr>
          <w:rFonts w:asciiTheme="minorHAnsi" w:eastAsia="Times New Roman" w:hAnsiTheme="minorHAnsi" w:cstheme="minorHAnsi"/>
          <w:i/>
          <w:sz w:val="24"/>
          <w:szCs w:val="24"/>
          <w:lang w:val="en-US" w:eastAsia="hu-HU"/>
        </w:rPr>
        <w:t>available to rightholders</w:t>
      </w:r>
      <w:r w:rsidR="001E3F1D">
        <w:rPr>
          <w:rFonts w:asciiTheme="minorHAnsi" w:eastAsia="Times New Roman" w:hAnsiTheme="minorHAnsi" w:cstheme="minorHAnsi"/>
          <w:sz w:val="24"/>
          <w:szCs w:val="24"/>
          <w:lang w:val="en-US" w:eastAsia="hu-HU"/>
        </w:rPr>
        <w:t xml:space="preserve"> to complain in cases where the OCSSPs, for the reasons </w:t>
      </w:r>
      <w:r w:rsidR="00206A81">
        <w:rPr>
          <w:rFonts w:asciiTheme="minorHAnsi" w:eastAsia="Times New Roman" w:hAnsiTheme="minorHAnsi" w:cstheme="minorHAnsi"/>
          <w:sz w:val="24"/>
          <w:szCs w:val="24"/>
          <w:lang w:val="en-US" w:eastAsia="hu-HU"/>
        </w:rPr>
        <w:t>mentioned above</w:t>
      </w:r>
      <w:r w:rsidR="006E435E">
        <w:rPr>
          <w:rFonts w:asciiTheme="minorHAnsi" w:eastAsia="Times New Roman" w:hAnsiTheme="minorHAnsi" w:cstheme="minorHAnsi"/>
          <w:sz w:val="24"/>
          <w:szCs w:val="24"/>
          <w:lang w:val="en-US" w:eastAsia="hu-HU"/>
        </w:rPr>
        <w:t>,</w:t>
      </w:r>
      <w:r w:rsidR="001E3F1D">
        <w:rPr>
          <w:rFonts w:asciiTheme="minorHAnsi" w:eastAsia="Times New Roman" w:hAnsiTheme="minorHAnsi" w:cstheme="minorHAnsi"/>
          <w:sz w:val="24"/>
          <w:szCs w:val="24"/>
          <w:lang w:val="en-US" w:eastAsia="hu-HU"/>
        </w:rPr>
        <w:t xml:space="preserve"> do not fulfill their obligations to ensure </w:t>
      </w:r>
      <w:r w:rsidR="006E435E">
        <w:rPr>
          <w:rFonts w:asciiTheme="minorHAnsi" w:eastAsia="Times New Roman" w:hAnsiTheme="minorHAnsi" w:cstheme="minorHAnsi"/>
          <w:sz w:val="24"/>
          <w:szCs w:val="24"/>
          <w:lang w:val="en-US" w:eastAsia="hu-HU"/>
        </w:rPr>
        <w:t xml:space="preserve">their </w:t>
      </w:r>
      <w:r w:rsidR="001E3F1D">
        <w:rPr>
          <w:rFonts w:asciiTheme="minorHAnsi" w:eastAsia="Times New Roman" w:hAnsiTheme="minorHAnsi" w:cstheme="minorHAnsi"/>
          <w:sz w:val="24"/>
          <w:szCs w:val="24"/>
          <w:lang w:val="en-US" w:eastAsia="hu-HU"/>
        </w:rPr>
        <w:t>exemption from liability for infringements</w:t>
      </w:r>
      <w:r w:rsidR="00206A81">
        <w:rPr>
          <w:rFonts w:asciiTheme="minorHAnsi" w:eastAsia="Times New Roman" w:hAnsiTheme="minorHAnsi" w:cstheme="minorHAnsi"/>
          <w:sz w:val="24"/>
          <w:szCs w:val="24"/>
          <w:lang w:val="en-US" w:eastAsia="hu-HU"/>
        </w:rPr>
        <w:t xml:space="preserve"> whenever their users declare that no infringement has taken place.</w:t>
      </w:r>
    </w:p>
    <w:p w14:paraId="0E6EC390" w14:textId="77777777" w:rsidR="00206A81" w:rsidRDefault="00206A81" w:rsidP="00A46F03">
      <w:pPr>
        <w:jc w:val="both"/>
        <w:rPr>
          <w:rFonts w:asciiTheme="minorHAnsi" w:eastAsia="Times New Roman" w:hAnsiTheme="minorHAnsi" w:cstheme="minorHAnsi"/>
          <w:sz w:val="24"/>
          <w:szCs w:val="24"/>
          <w:lang w:val="en-US" w:eastAsia="hu-HU"/>
        </w:rPr>
      </w:pPr>
    </w:p>
    <w:p w14:paraId="4A513711" w14:textId="4A41B784" w:rsidR="002008AD" w:rsidRDefault="00280C9A" w:rsidP="00A46F03">
      <w:pPr>
        <w:jc w:val="both"/>
        <w:rPr>
          <w:rFonts w:asciiTheme="minorHAnsi" w:eastAsia="Times New Roman" w:hAnsiTheme="minorHAnsi" w:cstheme="minorHAnsi"/>
          <w:sz w:val="24"/>
          <w:szCs w:val="24"/>
          <w:lang w:val="en-US" w:eastAsia="hu-HU"/>
        </w:rPr>
      </w:pPr>
      <w:r>
        <w:rPr>
          <w:rFonts w:asciiTheme="minorHAnsi" w:eastAsia="Times New Roman" w:hAnsiTheme="minorHAnsi" w:cstheme="minorHAnsi"/>
          <w:sz w:val="24"/>
          <w:szCs w:val="24"/>
          <w:lang w:val="en-US" w:eastAsia="hu-HU"/>
        </w:rPr>
        <w:t>Seventh</w:t>
      </w:r>
      <w:r w:rsidR="00206A81">
        <w:rPr>
          <w:rFonts w:asciiTheme="minorHAnsi" w:eastAsia="Times New Roman" w:hAnsiTheme="minorHAnsi" w:cstheme="minorHAnsi"/>
          <w:sz w:val="24"/>
          <w:szCs w:val="24"/>
          <w:lang w:val="en-US" w:eastAsia="hu-HU"/>
        </w:rPr>
        <w:t xml:space="preserve">, and most importantly, as pointed </w:t>
      </w:r>
      <w:r w:rsidR="006E435E">
        <w:rPr>
          <w:rFonts w:asciiTheme="minorHAnsi" w:eastAsia="Times New Roman" w:hAnsiTheme="minorHAnsi" w:cstheme="minorHAnsi"/>
          <w:sz w:val="24"/>
          <w:szCs w:val="24"/>
          <w:lang w:val="en-US" w:eastAsia="hu-HU"/>
        </w:rPr>
        <w:t xml:space="preserve">out </w:t>
      </w:r>
      <w:r w:rsidR="00206A81">
        <w:rPr>
          <w:rFonts w:asciiTheme="minorHAnsi" w:eastAsia="Times New Roman" w:hAnsiTheme="minorHAnsi" w:cstheme="minorHAnsi"/>
          <w:sz w:val="24"/>
          <w:szCs w:val="24"/>
          <w:lang w:val="en-US" w:eastAsia="hu-HU"/>
        </w:rPr>
        <w:t xml:space="preserve">above, as a result of the preliminary procedure suggested in the </w:t>
      </w:r>
      <w:r w:rsidR="006E435E">
        <w:rPr>
          <w:rFonts w:asciiTheme="minorHAnsi" w:eastAsia="Times New Roman" w:hAnsiTheme="minorHAnsi" w:cstheme="minorHAnsi"/>
          <w:sz w:val="24"/>
          <w:szCs w:val="24"/>
          <w:lang w:val="en-US" w:eastAsia="hu-HU"/>
        </w:rPr>
        <w:t>Recommendations</w:t>
      </w:r>
      <w:r w:rsidR="00206A81">
        <w:rPr>
          <w:rFonts w:asciiTheme="minorHAnsi" w:eastAsia="Times New Roman" w:hAnsiTheme="minorHAnsi" w:cstheme="minorHAnsi"/>
          <w:sz w:val="24"/>
          <w:szCs w:val="24"/>
          <w:lang w:val="en-US" w:eastAsia="hu-HU"/>
        </w:rPr>
        <w:t xml:space="preserve">, the works and objects of related rights would </w:t>
      </w:r>
      <w:r w:rsidR="006E435E">
        <w:rPr>
          <w:rFonts w:asciiTheme="minorHAnsi" w:eastAsia="Times New Roman" w:hAnsiTheme="minorHAnsi" w:cstheme="minorHAnsi"/>
          <w:sz w:val="24"/>
          <w:szCs w:val="24"/>
          <w:lang w:val="en-US" w:eastAsia="hu-HU"/>
        </w:rPr>
        <w:t xml:space="preserve">remain </w:t>
      </w:r>
      <w:r w:rsidR="00206A81">
        <w:rPr>
          <w:rFonts w:asciiTheme="minorHAnsi" w:eastAsia="Times New Roman" w:hAnsiTheme="minorHAnsi" w:cstheme="minorHAnsi"/>
          <w:sz w:val="24"/>
          <w:szCs w:val="24"/>
          <w:lang w:val="en-US" w:eastAsia="hu-HU"/>
        </w:rPr>
        <w:t xml:space="preserve"> available online for a while in spite of the request of the rightholders to block access to</w:t>
      </w:r>
      <w:r w:rsidR="006E435E">
        <w:rPr>
          <w:rFonts w:asciiTheme="minorHAnsi" w:eastAsia="Times New Roman" w:hAnsiTheme="minorHAnsi" w:cstheme="minorHAnsi"/>
          <w:sz w:val="24"/>
          <w:szCs w:val="24"/>
          <w:lang w:val="en-US" w:eastAsia="hu-HU"/>
        </w:rPr>
        <w:t>,</w:t>
      </w:r>
      <w:r w:rsidR="00206A81">
        <w:rPr>
          <w:rFonts w:asciiTheme="minorHAnsi" w:eastAsia="Times New Roman" w:hAnsiTheme="minorHAnsi" w:cstheme="minorHAnsi"/>
          <w:sz w:val="24"/>
          <w:szCs w:val="24"/>
          <w:lang w:val="en-US" w:eastAsia="hu-HU"/>
        </w:rPr>
        <w:t xml:space="preserve"> or to remove, them in accordance with Article </w:t>
      </w:r>
      <w:r w:rsidR="002B0180">
        <w:rPr>
          <w:rFonts w:asciiTheme="minorHAnsi" w:eastAsia="Times New Roman" w:hAnsiTheme="minorHAnsi" w:cstheme="minorHAnsi"/>
          <w:sz w:val="24"/>
          <w:szCs w:val="24"/>
          <w:lang w:val="en-US" w:eastAsia="hu-HU"/>
        </w:rPr>
        <w:t>1</w:t>
      </w:r>
      <w:r w:rsidR="00206A81">
        <w:rPr>
          <w:rFonts w:asciiTheme="minorHAnsi" w:eastAsia="Times New Roman" w:hAnsiTheme="minorHAnsi" w:cstheme="minorHAnsi"/>
          <w:sz w:val="24"/>
          <w:szCs w:val="24"/>
          <w:lang w:val="en-US" w:eastAsia="hu-HU"/>
        </w:rPr>
        <w:t>7(4)(b) and (c)</w:t>
      </w:r>
      <w:r w:rsidR="006E435E">
        <w:rPr>
          <w:rFonts w:asciiTheme="minorHAnsi" w:eastAsia="Times New Roman" w:hAnsiTheme="minorHAnsi" w:cstheme="minorHAnsi"/>
          <w:sz w:val="24"/>
          <w:szCs w:val="24"/>
          <w:lang w:val="en-US" w:eastAsia="hu-HU"/>
        </w:rPr>
        <w:t xml:space="preserve">, </w:t>
      </w:r>
      <w:r w:rsidR="00206A81">
        <w:rPr>
          <w:rFonts w:asciiTheme="minorHAnsi" w:eastAsia="Times New Roman" w:hAnsiTheme="minorHAnsi" w:cstheme="minorHAnsi"/>
          <w:sz w:val="24"/>
          <w:szCs w:val="24"/>
          <w:lang w:val="en-US" w:eastAsia="hu-HU"/>
        </w:rPr>
        <w:t>which m</w:t>
      </w:r>
      <w:r w:rsidR="006E435E">
        <w:rPr>
          <w:rFonts w:asciiTheme="minorHAnsi" w:eastAsia="Times New Roman" w:hAnsiTheme="minorHAnsi" w:cstheme="minorHAnsi"/>
          <w:sz w:val="24"/>
          <w:szCs w:val="24"/>
          <w:lang w:val="en-US" w:eastAsia="hu-HU"/>
        </w:rPr>
        <w:t>ight</w:t>
      </w:r>
      <w:r w:rsidR="00206A81">
        <w:rPr>
          <w:rFonts w:asciiTheme="minorHAnsi" w:eastAsia="Times New Roman" w:hAnsiTheme="minorHAnsi" w:cstheme="minorHAnsi"/>
          <w:sz w:val="24"/>
          <w:szCs w:val="24"/>
          <w:lang w:val="en-US" w:eastAsia="hu-HU"/>
        </w:rPr>
        <w:t xml:space="preserve"> cause serious unjustified prejudice to them and </w:t>
      </w:r>
      <w:r w:rsidR="00473AB6">
        <w:rPr>
          <w:rFonts w:asciiTheme="minorHAnsi" w:eastAsia="Times New Roman" w:hAnsiTheme="minorHAnsi" w:cstheme="minorHAnsi"/>
          <w:sz w:val="24"/>
          <w:szCs w:val="24"/>
          <w:lang w:val="en-US" w:eastAsia="hu-HU"/>
        </w:rPr>
        <w:t>would likely</w:t>
      </w:r>
      <w:r w:rsidR="00206A81">
        <w:rPr>
          <w:rFonts w:asciiTheme="minorHAnsi" w:eastAsia="Times New Roman" w:hAnsiTheme="minorHAnsi" w:cstheme="minorHAnsi"/>
          <w:sz w:val="24"/>
          <w:szCs w:val="24"/>
          <w:lang w:val="en-US" w:eastAsia="hu-HU"/>
        </w:rPr>
        <w:t xml:space="preserve"> conflict with the normal exploitation of their works and objects of related rights.      </w:t>
      </w:r>
      <w:r w:rsidR="001E3F1D">
        <w:rPr>
          <w:rFonts w:asciiTheme="minorHAnsi" w:eastAsia="Times New Roman" w:hAnsiTheme="minorHAnsi" w:cstheme="minorHAnsi"/>
          <w:sz w:val="24"/>
          <w:szCs w:val="24"/>
          <w:lang w:val="en-US" w:eastAsia="hu-HU"/>
        </w:rPr>
        <w:t xml:space="preserve">  </w:t>
      </w:r>
    </w:p>
    <w:p w14:paraId="28BA6186" w14:textId="77777777" w:rsidR="002008AD" w:rsidRDefault="002008AD" w:rsidP="00A46F03">
      <w:pPr>
        <w:jc w:val="both"/>
        <w:rPr>
          <w:rFonts w:asciiTheme="minorHAnsi" w:eastAsia="Times New Roman" w:hAnsiTheme="minorHAnsi" w:cstheme="minorHAnsi"/>
          <w:sz w:val="24"/>
          <w:szCs w:val="24"/>
          <w:lang w:val="en-US" w:eastAsia="hu-HU"/>
        </w:rPr>
      </w:pPr>
    </w:p>
    <w:p w14:paraId="113C0F46" w14:textId="5BC67314" w:rsidR="00E17222" w:rsidRDefault="00300E0A" w:rsidP="00A46F03">
      <w:pPr>
        <w:jc w:val="both"/>
        <w:rPr>
          <w:rFonts w:asciiTheme="minorHAnsi" w:eastAsia="Times New Roman" w:hAnsiTheme="minorHAnsi" w:cstheme="minorHAnsi"/>
          <w:sz w:val="24"/>
          <w:szCs w:val="24"/>
          <w:lang w:val="en-US" w:eastAsia="hu-HU"/>
        </w:rPr>
      </w:pPr>
      <w:r>
        <w:rPr>
          <w:rFonts w:asciiTheme="minorHAnsi" w:eastAsia="Times New Roman" w:hAnsiTheme="minorHAnsi" w:cstheme="minorHAnsi"/>
          <w:sz w:val="24"/>
          <w:szCs w:val="24"/>
          <w:lang w:val="en-US" w:eastAsia="hu-HU"/>
        </w:rPr>
        <w:t>Nevertheles</w:t>
      </w:r>
      <w:r w:rsidR="00AF3B48">
        <w:rPr>
          <w:rFonts w:asciiTheme="minorHAnsi" w:eastAsia="Times New Roman" w:hAnsiTheme="minorHAnsi" w:cstheme="minorHAnsi"/>
          <w:sz w:val="24"/>
          <w:szCs w:val="24"/>
          <w:lang w:val="en-US" w:eastAsia="hu-HU"/>
        </w:rPr>
        <w:t>s</w:t>
      </w:r>
      <w:r w:rsidR="002008AD">
        <w:rPr>
          <w:rFonts w:asciiTheme="minorHAnsi" w:eastAsia="Times New Roman" w:hAnsiTheme="minorHAnsi" w:cstheme="minorHAnsi"/>
          <w:sz w:val="24"/>
          <w:szCs w:val="24"/>
          <w:lang w:val="en-US" w:eastAsia="hu-HU"/>
        </w:rPr>
        <w:t>, there are typical forms of uploaded materials where the use of works and objects of related rights are not infringements</w:t>
      </w:r>
      <w:r w:rsidR="0004434A">
        <w:rPr>
          <w:rFonts w:asciiTheme="minorHAnsi" w:eastAsia="Times New Roman" w:hAnsiTheme="minorHAnsi" w:cstheme="minorHAnsi"/>
          <w:sz w:val="24"/>
          <w:szCs w:val="24"/>
          <w:lang w:val="en-US" w:eastAsia="hu-HU"/>
        </w:rPr>
        <w:t>.</w:t>
      </w:r>
      <w:r w:rsidR="006E435E">
        <w:rPr>
          <w:rFonts w:asciiTheme="minorHAnsi" w:eastAsia="Times New Roman" w:hAnsiTheme="minorHAnsi" w:cstheme="minorHAnsi"/>
          <w:sz w:val="24"/>
          <w:szCs w:val="24"/>
          <w:lang w:val="en-US" w:eastAsia="hu-HU"/>
        </w:rPr>
        <w:t xml:space="preserve"> </w:t>
      </w:r>
      <w:r w:rsidR="00392572">
        <w:rPr>
          <w:rFonts w:asciiTheme="minorHAnsi" w:eastAsia="Times New Roman" w:hAnsiTheme="minorHAnsi" w:cstheme="minorHAnsi"/>
          <w:sz w:val="24"/>
          <w:szCs w:val="24"/>
          <w:lang w:val="en-US" w:eastAsia="hu-HU"/>
        </w:rPr>
        <w:t>T</w:t>
      </w:r>
      <w:r w:rsidR="002008AD">
        <w:rPr>
          <w:rFonts w:asciiTheme="minorHAnsi" w:eastAsia="Times New Roman" w:hAnsiTheme="minorHAnsi" w:cstheme="minorHAnsi"/>
          <w:sz w:val="24"/>
          <w:szCs w:val="24"/>
          <w:lang w:val="en-US" w:eastAsia="hu-HU"/>
        </w:rPr>
        <w:t xml:space="preserve">he rightholders </w:t>
      </w:r>
      <w:r w:rsidR="00392572">
        <w:rPr>
          <w:rFonts w:asciiTheme="minorHAnsi" w:eastAsia="Times New Roman" w:hAnsiTheme="minorHAnsi" w:cstheme="minorHAnsi"/>
          <w:sz w:val="24"/>
          <w:szCs w:val="24"/>
          <w:lang w:val="en-US" w:eastAsia="hu-HU"/>
        </w:rPr>
        <w:t xml:space="preserve">certainly will be </w:t>
      </w:r>
      <w:r w:rsidR="002008AD">
        <w:rPr>
          <w:rFonts w:asciiTheme="minorHAnsi" w:eastAsia="Times New Roman" w:hAnsiTheme="minorHAnsi" w:cstheme="minorHAnsi"/>
          <w:sz w:val="24"/>
          <w:szCs w:val="24"/>
          <w:lang w:val="en-US" w:eastAsia="hu-HU"/>
        </w:rPr>
        <w:t xml:space="preserve">ready to identify such cases; it is not </w:t>
      </w:r>
      <w:r w:rsidR="00473AB6">
        <w:rPr>
          <w:rFonts w:asciiTheme="minorHAnsi" w:eastAsia="Times New Roman" w:hAnsiTheme="minorHAnsi" w:cstheme="minorHAnsi"/>
          <w:sz w:val="24"/>
          <w:szCs w:val="24"/>
          <w:lang w:val="en-US" w:eastAsia="hu-HU"/>
        </w:rPr>
        <w:t xml:space="preserve">in </w:t>
      </w:r>
      <w:r w:rsidR="002008AD">
        <w:rPr>
          <w:rFonts w:asciiTheme="minorHAnsi" w:eastAsia="Times New Roman" w:hAnsiTheme="minorHAnsi" w:cstheme="minorHAnsi"/>
          <w:sz w:val="24"/>
          <w:szCs w:val="24"/>
          <w:lang w:val="en-US" w:eastAsia="hu-HU"/>
        </w:rPr>
        <w:t>their interests to insist on the OCSSPs</w:t>
      </w:r>
      <w:r w:rsidR="006E435E">
        <w:rPr>
          <w:rFonts w:asciiTheme="minorHAnsi" w:eastAsia="Times New Roman" w:hAnsiTheme="minorHAnsi" w:cstheme="minorHAnsi"/>
          <w:sz w:val="24"/>
          <w:szCs w:val="24"/>
          <w:lang w:val="en-US" w:eastAsia="hu-HU"/>
        </w:rPr>
        <w:t>’</w:t>
      </w:r>
      <w:r w:rsidR="002008AD">
        <w:rPr>
          <w:rFonts w:asciiTheme="minorHAnsi" w:eastAsia="Times New Roman" w:hAnsiTheme="minorHAnsi" w:cstheme="minorHAnsi"/>
          <w:sz w:val="24"/>
          <w:szCs w:val="24"/>
          <w:lang w:val="en-US" w:eastAsia="hu-HU"/>
        </w:rPr>
        <w:t xml:space="preserve"> intervention where obviously there is such a situation. It would undermine the credibility of the system provided in Article </w:t>
      </w:r>
      <w:r w:rsidR="002B0180">
        <w:rPr>
          <w:rFonts w:asciiTheme="minorHAnsi" w:eastAsia="Times New Roman" w:hAnsiTheme="minorHAnsi" w:cstheme="minorHAnsi"/>
          <w:sz w:val="24"/>
          <w:szCs w:val="24"/>
          <w:lang w:val="en-US" w:eastAsia="hu-HU"/>
        </w:rPr>
        <w:t>1</w:t>
      </w:r>
      <w:r w:rsidR="002008AD">
        <w:rPr>
          <w:rFonts w:asciiTheme="minorHAnsi" w:eastAsia="Times New Roman" w:hAnsiTheme="minorHAnsi" w:cstheme="minorHAnsi"/>
          <w:sz w:val="24"/>
          <w:szCs w:val="24"/>
          <w:lang w:val="en-US" w:eastAsia="hu-HU"/>
        </w:rPr>
        <w:t xml:space="preserve">7 which may be useful for them to narrow the “value gap” in their favor </w:t>
      </w:r>
      <w:r w:rsidR="00E17222">
        <w:rPr>
          <w:rFonts w:asciiTheme="minorHAnsi" w:eastAsia="Times New Roman" w:hAnsiTheme="minorHAnsi" w:cstheme="minorHAnsi"/>
          <w:sz w:val="24"/>
          <w:szCs w:val="24"/>
          <w:lang w:val="en-US" w:eastAsia="hu-HU"/>
        </w:rPr>
        <w:t xml:space="preserve">and </w:t>
      </w:r>
      <w:r w:rsidR="002008AD">
        <w:rPr>
          <w:rFonts w:asciiTheme="minorHAnsi" w:eastAsia="Times New Roman" w:hAnsiTheme="minorHAnsi" w:cstheme="minorHAnsi"/>
          <w:sz w:val="24"/>
          <w:szCs w:val="24"/>
          <w:lang w:val="en-US" w:eastAsia="hu-HU"/>
        </w:rPr>
        <w:t>to fight online infringements</w:t>
      </w:r>
      <w:r w:rsidR="00E17222">
        <w:rPr>
          <w:rFonts w:asciiTheme="minorHAnsi" w:eastAsia="Times New Roman" w:hAnsiTheme="minorHAnsi" w:cstheme="minorHAnsi"/>
          <w:sz w:val="24"/>
          <w:szCs w:val="24"/>
          <w:lang w:val="en-US" w:eastAsia="hu-HU"/>
        </w:rPr>
        <w:t xml:space="preserve">. </w:t>
      </w:r>
    </w:p>
    <w:p w14:paraId="4822AFBE" w14:textId="77777777" w:rsidR="00E17222" w:rsidRDefault="00E17222" w:rsidP="00A46F03">
      <w:pPr>
        <w:jc w:val="both"/>
        <w:rPr>
          <w:rFonts w:asciiTheme="minorHAnsi" w:eastAsia="Times New Roman" w:hAnsiTheme="minorHAnsi" w:cstheme="minorHAnsi"/>
          <w:sz w:val="24"/>
          <w:szCs w:val="24"/>
          <w:lang w:val="en-US" w:eastAsia="hu-HU"/>
        </w:rPr>
      </w:pPr>
    </w:p>
    <w:p w14:paraId="4D0151BA" w14:textId="562A2DBA" w:rsidR="00300E0A" w:rsidRDefault="00392572" w:rsidP="00A46F03">
      <w:pPr>
        <w:jc w:val="both"/>
        <w:rPr>
          <w:rFonts w:asciiTheme="minorHAnsi" w:eastAsia="Times New Roman" w:hAnsiTheme="minorHAnsi" w:cstheme="minorHAnsi"/>
          <w:sz w:val="24"/>
          <w:szCs w:val="24"/>
          <w:lang w:val="en-US" w:eastAsia="hu-HU"/>
        </w:rPr>
      </w:pPr>
      <w:r>
        <w:rPr>
          <w:rFonts w:asciiTheme="minorHAnsi" w:eastAsia="Times New Roman" w:hAnsiTheme="minorHAnsi" w:cstheme="minorHAnsi"/>
          <w:sz w:val="24"/>
          <w:szCs w:val="24"/>
          <w:lang w:val="en-US" w:eastAsia="hu-HU"/>
        </w:rPr>
        <w:t>T</w:t>
      </w:r>
      <w:r w:rsidR="00E17222">
        <w:rPr>
          <w:rFonts w:asciiTheme="minorHAnsi" w:eastAsia="Times New Roman" w:hAnsiTheme="minorHAnsi" w:cstheme="minorHAnsi"/>
          <w:sz w:val="24"/>
          <w:szCs w:val="24"/>
          <w:lang w:val="en-US" w:eastAsia="hu-HU"/>
        </w:rPr>
        <w:t xml:space="preserve">his may be achieved </w:t>
      </w:r>
      <w:r w:rsidR="00DB46BB">
        <w:rPr>
          <w:rFonts w:asciiTheme="minorHAnsi" w:eastAsia="Times New Roman" w:hAnsiTheme="minorHAnsi" w:cstheme="minorHAnsi"/>
          <w:sz w:val="24"/>
          <w:szCs w:val="24"/>
          <w:lang w:val="en-US" w:eastAsia="hu-HU"/>
        </w:rPr>
        <w:t xml:space="preserve">through appropriate instructions </w:t>
      </w:r>
      <w:r w:rsidR="00DB46BB" w:rsidRPr="00300E0A">
        <w:rPr>
          <w:rFonts w:asciiTheme="minorHAnsi" w:eastAsia="Times New Roman" w:hAnsiTheme="minorHAnsi" w:cstheme="minorHAnsi"/>
          <w:i/>
          <w:sz w:val="24"/>
          <w:szCs w:val="24"/>
          <w:lang w:val="en-US" w:eastAsia="hu-HU"/>
        </w:rPr>
        <w:t>by the rightholders</w:t>
      </w:r>
      <w:r w:rsidR="00DB46BB">
        <w:rPr>
          <w:rFonts w:asciiTheme="minorHAnsi" w:eastAsia="Times New Roman" w:hAnsiTheme="minorHAnsi" w:cstheme="minorHAnsi"/>
          <w:sz w:val="24"/>
          <w:szCs w:val="24"/>
          <w:lang w:val="en-US" w:eastAsia="hu-HU"/>
        </w:rPr>
        <w:t xml:space="preserve"> to exclude blocking </w:t>
      </w:r>
      <w:r w:rsidR="00300E0A">
        <w:rPr>
          <w:rFonts w:asciiTheme="minorHAnsi" w:eastAsia="Times New Roman" w:hAnsiTheme="minorHAnsi" w:cstheme="minorHAnsi"/>
          <w:sz w:val="24"/>
          <w:szCs w:val="24"/>
          <w:lang w:val="en-US" w:eastAsia="hu-HU"/>
        </w:rPr>
        <w:t xml:space="preserve">of uploaded contents </w:t>
      </w:r>
      <w:r w:rsidR="00DB46BB">
        <w:rPr>
          <w:rFonts w:asciiTheme="minorHAnsi" w:eastAsia="Times New Roman" w:hAnsiTheme="minorHAnsi" w:cstheme="minorHAnsi"/>
          <w:sz w:val="24"/>
          <w:szCs w:val="24"/>
          <w:lang w:val="en-US" w:eastAsia="hu-HU"/>
        </w:rPr>
        <w:t xml:space="preserve">in </w:t>
      </w:r>
      <w:r w:rsidR="00A8306E">
        <w:rPr>
          <w:rFonts w:asciiTheme="minorHAnsi" w:eastAsia="Times New Roman" w:hAnsiTheme="minorHAnsi" w:cstheme="minorHAnsi"/>
          <w:sz w:val="24"/>
          <w:szCs w:val="24"/>
          <w:lang w:val="en-US" w:eastAsia="hu-HU"/>
        </w:rPr>
        <w:t>those</w:t>
      </w:r>
      <w:r w:rsidR="00DB46BB">
        <w:rPr>
          <w:rFonts w:asciiTheme="minorHAnsi" w:eastAsia="Times New Roman" w:hAnsiTheme="minorHAnsi" w:cstheme="minorHAnsi"/>
          <w:sz w:val="24"/>
          <w:szCs w:val="24"/>
          <w:lang w:val="en-US" w:eastAsia="hu-HU"/>
        </w:rPr>
        <w:t xml:space="preserve"> cases where the probability of the application of exceptions listed in the second subparagraph of Article 17(7) is </w:t>
      </w:r>
      <w:r w:rsidR="0004434A">
        <w:rPr>
          <w:rFonts w:asciiTheme="minorHAnsi" w:eastAsia="Times New Roman" w:hAnsiTheme="minorHAnsi" w:cstheme="minorHAnsi"/>
          <w:sz w:val="24"/>
          <w:szCs w:val="24"/>
          <w:lang w:val="en-US" w:eastAsia="hu-HU"/>
        </w:rPr>
        <w:t>high</w:t>
      </w:r>
      <w:r w:rsidR="00DB46BB">
        <w:rPr>
          <w:rFonts w:asciiTheme="minorHAnsi" w:eastAsia="Times New Roman" w:hAnsiTheme="minorHAnsi" w:cstheme="minorHAnsi"/>
          <w:sz w:val="24"/>
          <w:szCs w:val="24"/>
          <w:lang w:val="en-US" w:eastAsia="hu-HU"/>
        </w:rPr>
        <w:t xml:space="preserve"> (</w:t>
      </w:r>
      <w:r w:rsidR="002E7D3D">
        <w:rPr>
          <w:rFonts w:asciiTheme="minorHAnsi" w:eastAsia="Times New Roman" w:hAnsiTheme="minorHAnsi" w:cstheme="minorHAnsi"/>
          <w:sz w:val="24"/>
          <w:szCs w:val="24"/>
          <w:lang w:val="en-US" w:eastAsia="hu-HU"/>
        </w:rPr>
        <w:t xml:space="preserve">due to </w:t>
      </w:r>
      <w:r w:rsidR="00A46356">
        <w:rPr>
          <w:rFonts w:asciiTheme="minorHAnsi" w:eastAsia="Times New Roman" w:hAnsiTheme="minorHAnsi" w:cstheme="minorHAnsi"/>
          <w:sz w:val="24"/>
          <w:szCs w:val="24"/>
          <w:lang w:val="en-US" w:eastAsia="hu-HU"/>
        </w:rPr>
        <w:t>the limited volume of the use</w:t>
      </w:r>
      <w:r w:rsidR="00CE3BC1">
        <w:rPr>
          <w:rFonts w:asciiTheme="minorHAnsi" w:eastAsia="Times New Roman" w:hAnsiTheme="minorHAnsi" w:cstheme="minorHAnsi"/>
          <w:sz w:val="24"/>
          <w:szCs w:val="24"/>
          <w:lang w:val="en-US" w:eastAsia="hu-HU"/>
        </w:rPr>
        <w:t xml:space="preserve"> or other possible objective criteria</w:t>
      </w:r>
      <w:r w:rsidR="00A46356">
        <w:rPr>
          <w:rStyle w:val="Lbjegyzet-hivatkozs"/>
          <w:rFonts w:asciiTheme="minorHAnsi" w:eastAsia="Times New Roman" w:hAnsiTheme="minorHAnsi" w:cstheme="minorHAnsi"/>
          <w:sz w:val="24"/>
          <w:szCs w:val="24"/>
          <w:lang w:val="en-US" w:eastAsia="hu-HU"/>
        </w:rPr>
        <w:footnoteReference w:id="18"/>
      </w:r>
      <w:r w:rsidR="00A46356">
        <w:rPr>
          <w:rFonts w:asciiTheme="minorHAnsi" w:eastAsia="Times New Roman" w:hAnsiTheme="minorHAnsi" w:cstheme="minorHAnsi"/>
          <w:sz w:val="24"/>
          <w:szCs w:val="24"/>
          <w:lang w:val="en-US" w:eastAsia="hu-HU"/>
        </w:rPr>
        <w:t>)</w:t>
      </w:r>
      <w:r w:rsidR="002E7D3D">
        <w:rPr>
          <w:rFonts w:asciiTheme="minorHAnsi" w:eastAsia="Times New Roman" w:hAnsiTheme="minorHAnsi" w:cstheme="minorHAnsi"/>
          <w:sz w:val="24"/>
          <w:szCs w:val="24"/>
          <w:lang w:val="en-US" w:eastAsia="hu-HU"/>
        </w:rPr>
        <w:t xml:space="preserve">. </w:t>
      </w:r>
      <w:r w:rsidR="00A8306E">
        <w:rPr>
          <w:rFonts w:asciiTheme="minorHAnsi" w:eastAsia="Times New Roman" w:hAnsiTheme="minorHAnsi" w:cstheme="minorHAnsi"/>
          <w:sz w:val="24"/>
          <w:szCs w:val="24"/>
          <w:lang w:val="en-US" w:eastAsia="hu-HU"/>
        </w:rPr>
        <w:t xml:space="preserve">This kind of </w:t>
      </w:r>
      <w:r w:rsidR="002E7D3D">
        <w:rPr>
          <w:rFonts w:asciiTheme="minorHAnsi" w:eastAsia="Times New Roman" w:hAnsiTheme="minorHAnsi" w:cstheme="minorHAnsi"/>
          <w:sz w:val="24"/>
          <w:szCs w:val="24"/>
          <w:lang w:val="en-US" w:eastAsia="hu-HU"/>
        </w:rPr>
        <w:t xml:space="preserve">limitation might be applied through software solutions too. </w:t>
      </w:r>
      <w:r w:rsidR="00A46356">
        <w:rPr>
          <w:rFonts w:asciiTheme="minorHAnsi" w:eastAsia="Times New Roman" w:hAnsiTheme="minorHAnsi" w:cstheme="minorHAnsi"/>
          <w:sz w:val="24"/>
          <w:szCs w:val="24"/>
          <w:lang w:val="en-US" w:eastAsia="hu-HU"/>
        </w:rPr>
        <w:t xml:space="preserve"> </w:t>
      </w:r>
      <w:r w:rsidR="00300E0A">
        <w:rPr>
          <w:rFonts w:asciiTheme="minorHAnsi" w:eastAsia="Times New Roman" w:hAnsiTheme="minorHAnsi" w:cstheme="minorHAnsi"/>
          <w:sz w:val="24"/>
          <w:szCs w:val="24"/>
          <w:lang w:val="en-US" w:eastAsia="hu-HU"/>
        </w:rPr>
        <w:t xml:space="preserve">It goes without saying that </w:t>
      </w:r>
      <w:r w:rsidR="002E7D3D" w:rsidRPr="00300E0A">
        <w:rPr>
          <w:rFonts w:asciiTheme="minorHAnsi" w:eastAsia="Times New Roman" w:hAnsiTheme="minorHAnsi" w:cstheme="minorHAnsi"/>
          <w:sz w:val="24"/>
          <w:szCs w:val="24"/>
          <w:lang w:val="en-US" w:eastAsia="hu-HU"/>
        </w:rPr>
        <w:t xml:space="preserve">limitation of blocking </w:t>
      </w:r>
      <w:r w:rsidR="002E7D3D" w:rsidRPr="00300E0A">
        <w:rPr>
          <w:rFonts w:asciiTheme="minorHAnsi" w:eastAsia="Times New Roman" w:hAnsiTheme="minorHAnsi" w:cstheme="minorHAnsi"/>
          <w:i/>
          <w:sz w:val="24"/>
          <w:szCs w:val="24"/>
          <w:lang w:val="en-US" w:eastAsia="hu-HU"/>
        </w:rPr>
        <w:t>by the</w:t>
      </w:r>
      <w:r w:rsidR="00300E0A">
        <w:rPr>
          <w:rFonts w:asciiTheme="minorHAnsi" w:eastAsia="Times New Roman" w:hAnsiTheme="minorHAnsi" w:cstheme="minorHAnsi"/>
          <w:i/>
          <w:sz w:val="24"/>
          <w:szCs w:val="24"/>
          <w:lang w:val="en-US" w:eastAsia="hu-HU"/>
        </w:rPr>
        <w:t xml:space="preserve"> </w:t>
      </w:r>
      <w:r w:rsidR="002E7D3D" w:rsidRPr="00300E0A">
        <w:rPr>
          <w:rFonts w:asciiTheme="minorHAnsi" w:eastAsia="Times New Roman" w:hAnsiTheme="minorHAnsi" w:cstheme="minorHAnsi"/>
          <w:i/>
          <w:sz w:val="24"/>
          <w:szCs w:val="24"/>
          <w:lang w:val="en-US" w:eastAsia="hu-HU"/>
        </w:rPr>
        <w:t>rightholders</w:t>
      </w:r>
      <w:r w:rsidR="002E7D3D" w:rsidRPr="00300E0A">
        <w:rPr>
          <w:rFonts w:asciiTheme="minorHAnsi" w:eastAsia="Times New Roman" w:hAnsiTheme="minorHAnsi" w:cstheme="minorHAnsi"/>
          <w:sz w:val="24"/>
          <w:szCs w:val="24"/>
          <w:lang w:val="en-US" w:eastAsia="hu-HU"/>
        </w:rPr>
        <w:t xml:space="preserve"> would not exclude </w:t>
      </w:r>
      <w:r w:rsidR="00300E0A" w:rsidRPr="00300E0A">
        <w:rPr>
          <w:rFonts w:asciiTheme="minorHAnsi" w:eastAsia="Times New Roman" w:hAnsiTheme="minorHAnsi" w:cstheme="minorHAnsi"/>
          <w:i/>
          <w:sz w:val="24"/>
          <w:szCs w:val="24"/>
          <w:lang w:val="en-US" w:eastAsia="hu-HU"/>
        </w:rPr>
        <w:t>post festa</w:t>
      </w:r>
      <w:r w:rsidR="00300E0A">
        <w:rPr>
          <w:rFonts w:asciiTheme="minorHAnsi" w:eastAsia="Times New Roman" w:hAnsiTheme="minorHAnsi" w:cstheme="minorHAnsi"/>
          <w:sz w:val="24"/>
          <w:szCs w:val="24"/>
          <w:lang w:val="en-US" w:eastAsia="hu-HU"/>
        </w:rPr>
        <w:t xml:space="preserve"> </w:t>
      </w:r>
      <w:r w:rsidR="00CC724F" w:rsidRPr="00300E0A">
        <w:rPr>
          <w:rFonts w:asciiTheme="minorHAnsi" w:eastAsia="Times New Roman" w:hAnsiTheme="minorHAnsi" w:cstheme="minorHAnsi"/>
          <w:sz w:val="24"/>
          <w:szCs w:val="24"/>
          <w:lang w:val="en-US" w:eastAsia="hu-HU"/>
        </w:rPr>
        <w:t>appl</w:t>
      </w:r>
      <w:r w:rsidR="00300E0A">
        <w:rPr>
          <w:rFonts w:asciiTheme="minorHAnsi" w:eastAsia="Times New Roman" w:hAnsiTheme="minorHAnsi" w:cstheme="minorHAnsi"/>
          <w:sz w:val="24"/>
          <w:szCs w:val="24"/>
          <w:lang w:val="en-US" w:eastAsia="hu-HU"/>
        </w:rPr>
        <w:t xml:space="preserve">ication of </w:t>
      </w:r>
      <w:r w:rsidR="00CC724F" w:rsidRPr="00300E0A">
        <w:rPr>
          <w:rFonts w:asciiTheme="minorHAnsi" w:eastAsia="Times New Roman" w:hAnsiTheme="minorHAnsi" w:cstheme="minorHAnsi"/>
          <w:sz w:val="24"/>
          <w:szCs w:val="24"/>
          <w:lang w:val="en-US" w:eastAsia="hu-HU"/>
        </w:rPr>
        <w:t>the notice-and-stay</w:t>
      </w:r>
      <w:r w:rsidR="00A8306E" w:rsidRPr="00300E0A">
        <w:rPr>
          <w:rFonts w:asciiTheme="minorHAnsi" w:eastAsia="Times New Roman" w:hAnsiTheme="minorHAnsi" w:cstheme="minorHAnsi"/>
          <w:sz w:val="24"/>
          <w:szCs w:val="24"/>
          <w:lang w:val="en-US" w:eastAsia="hu-HU"/>
        </w:rPr>
        <w:t>-</w:t>
      </w:r>
      <w:r w:rsidR="00CC724F" w:rsidRPr="00300E0A">
        <w:rPr>
          <w:rFonts w:asciiTheme="minorHAnsi" w:eastAsia="Times New Roman" w:hAnsiTheme="minorHAnsi" w:cstheme="minorHAnsi"/>
          <w:sz w:val="24"/>
          <w:szCs w:val="24"/>
          <w:lang w:val="en-US" w:eastAsia="hu-HU"/>
        </w:rPr>
        <w:t xml:space="preserve">down provisions </w:t>
      </w:r>
      <w:r w:rsidR="00CE3BC1" w:rsidRPr="00300E0A">
        <w:rPr>
          <w:rFonts w:asciiTheme="minorHAnsi" w:eastAsia="Times New Roman" w:hAnsiTheme="minorHAnsi" w:cstheme="minorHAnsi"/>
          <w:sz w:val="24"/>
          <w:szCs w:val="24"/>
          <w:lang w:val="en-US" w:eastAsia="hu-HU"/>
        </w:rPr>
        <w:t xml:space="preserve">under Article 17(2)(iii) </w:t>
      </w:r>
      <w:r w:rsidR="00CC724F" w:rsidRPr="00300E0A">
        <w:rPr>
          <w:rFonts w:asciiTheme="minorHAnsi" w:eastAsia="Times New Roman" w:hAnsiTheme="minorHAnsi" w:cstheme="minorHAnsi"/>
          <w:sz w:val="24"/>
          <w:szCs w:val="24"/>
          <w:lang w:val="en-US" w:eastAsia="hu-HU"/>
        </w:rPr>
        <w:t>where it turn</w:t>
      </w:r>
      <w:r w:rsidR="0004434A" w:rsidRPr="00300E0A">
        <w:rPr>
          <w:rFonts w:asciiTheme="minorHAnsi" w:eastAsia="Times New Roman" w:hAnsiTheme="minorHAnsi" w:cstheme="minorHAnsi"/>
          <w:sz w:val="24"/>
          <w:szCs w:val="24"/>
          <w:lang w:val="en-US" w:eastAsia="hu-HU"/>
        </w:rPr>
        <w:t>s</w:t>
      </w:r>
      <w:r w:rsidR="00CC724F" w:rsidRPr="00300E0A">
        <w:rPr>
          <w:rFonts w:asciiTheme="minorHAnsi" w:eastAsia="Times New Roman" w:hAnsiTheme="minorHAnsi" w:cstheme="minorHAnsi"/>
          <w:sz w:val="24"/>
          <w:szCs w:val="24"/>
          <w:lang w:val="en-US" w:eastAsia="hu-HU"/>
        </w:rPr>
        <w:t xml:space="preserve"> out that,</w:t>
      </w:r>
      <w:r w:rsidR="00CC724F">
        <w:rPr>
          <w:rFonts w:asciiTheme="minorHAnsi" w:eastAsia="Times New Roman" w:hAnsiTheme="minorHAnsi" w:cstheme="minorHAnsi"/>
          <w:sz w:val="24"/>
          <w:szCs w:val="24"/>
          <w:lang w:val="en-US" w:eastAsia="hu-HU"/>
        </w:rPr>
        <w:t xml:space="preserve"> in the cases preliminary excluded</w:t>
      </w:r>
      <w:r w:rsidR="00CC7BBD">
        <w:rPr>
          <w:rFonts w:asciiTheme="minorHAnsi" w:eastAsia="Times New Roman" w:hAnsiTheme="minorHAnsi" w:cstheme="minorHAnsi"/>
          <w:sz w:val="24"/>
          <w:szCs w:val="24"/>
          <w:lang w:val="en-US" w:eastAsia="hu-HU"/>
        </w:rPr>
        <w:t xml:space="preserve"> from blocking</w:t>
      </w:r>
      <w:r w:rsidR="00CC724F">
        <w:rPr>
          <w:rFonts w:asciiTheme="minorHAnsi" w:eastAsia="Times New Roman" w:hAnsiTheme="minorHAnsi" w:cstheme="minorHAnsi"/>
          <w:sz w:val="24"/>
          <w:szCs w:val="24"/>
          <w:lang w:val="en-US" w:eastAsia="hu-HU"/>
        </w:rPr>
        <w:t xml:space="preserve">, still infringements </w:t>
      </w:r>
      <w:r w:rsidR="00300E0A">
        <w:rPr>
          <w:rFonts w:asciiTheme="minorHAnsi" w:eastAsia="Times New Roman" w:hAnsiTheme="minorHAnsi" w:cstheme="minorHAnsi"/>
          <w:sz w:val="24"/>
          <w:szCs w:val="24"/>
          <w:lang w:val="en-US" w:eastAsia="hu-HU"/>
        </w:rPr>
        <w:t xml:space="preserve">have </w:t>
      </w:r>
      <w:r w:rsidR="00CC724F">
        <w:rPr>
          <w:rFonts w:asciiTheme="minorHAnsi" w:eastAsia="Times New Roman" w:hAnsiTheme="minorHAnsi" w:cstheme="minorHAnsi"/>
          <w:sz w:val="24"/>
          <w:szCs w:val="24"/>
          <w:lang w:val="en-US" w:eastAsia="hu-HU"/>
        </w:rPr>
        <w:t>t</w:t>
      </w:r>
      <w:r w:rsidR="0004434A">
        <w:rPr>
          <w:rFonts w:asciiTheme="minorHAnsi" w:eastAsia="Times New Roman" w:hAnsiTheme="minorHAnsi" w:cstheme="minorHAnsi"/>
          <w:sz w:val="24"/>
          <w:szCs w:val="24"/>
          <w:lang w:val="en-US" w:eastAsia="hu-HU"/>
        </w:rPr>
        <w:t>ake</w:t>
      </w:r>
      <w:r w:rsidR="00300E0A">
        <w:rPr>
          <w:rFonts w:asciiTheme="minorHAnsi" w:eastAsia="Times New Roman" w:hAnsiTheme="minorHAnsi" w:cstheme="minorHAnsi"/>
          <w:sz w:val="24"/>
          <w:szCs w:val="24"/>
          <w:lang w:val="en-US" w:eastAsia="hu-HU"/>
        </w:rPr>
        <w:t>n</w:t>
      </w:r>
      <w:r w:rsidR="00CC724F">
        <w:rPr>
          <w:rFonts w:asciiTheme="minorHAnsi" w:eastAsia="Times New Roman" w:hAnsiTheme="minorHAnsi" w:cstheme="minorHAnsi"/>
          <w:sz w:val="24"/>
          <w:szCs w:val="24"/>
          <w:lang w:val="en-US" w:eastAsia="hu-HU"/>
        </w:rPr>
        <w:t xml:space="preserve"> place </w:t>
      </w:r>
    </w:p>
    <w:p w14:paraId="62F6D305" w14:textId="77777777" w:rsidR="00300E0A" w:rsidRDefault="00300E0A" w:rsidP="00A46F03">
      <w:pPr>
        <w:jc w:val="both"/>
        <w:rPr>
          <w:rFonts w:asciiTheme="minorHAnsi" w:eastAsia="Times New Roman" w:hAnsiTheme="minorHAnsi" w:cstheme="minorHAnsi"/>
          <w:sz w:val="24"/>
          <w:szCs w:val="24"/>
          <w:lang w:val="en-US" w:eastAsia="hu-HU"/>
        </w:rPr>
      </w:pPr>
    </w:p>
    <w:p w14:paraId="75BCF884" w14:textId="46A92B81" w:rsidR="00542B57" w:rsidRDefault="0004434A" w:rsidP="00A46F03">
      <w:pPr>
        <w:jc w:val="both"/>
        <w:rPr>
          <w:rFonts w:asciiTheme="minorHAnsi" w:eastAsia="Times New Roman" w:hAnsiTheme="minorHAnsi" w:cstheme="minorHAnsi"/>
          <w:sz w:val="24"/>
          <w:szCs w:val="24"/>
          <w:lang w:val="en-US" w:eastAsia="hu-HU"/>
        </w:rPr>
      </w:pPr>
      <w:r>
        <w:rPr>
          <w:rFonts w:asciiTheme="minorHAnsi" w:eastAsia="Times New Roman" w:hAnsiTheme="minorHAnsi" w:cstheme="minorHAnsi"/>
          <w:sz w:val="24"/>
          <w:szCs w:val="24"/>
          <w:lang w:val="en-US" w:eastAsia="hu-HU"/>
        </w:rPr>
        <w:t xml:space="preserve">An expeditious </w:t>
      </w:r>
      <w:r w:rsidR="00E17222">
        <w:rPr>
          <w:rFonts w:asciiTheme="minorHAnsi" w:eastAsia="Times New Roman" w:hAnsiTheme="minorHAnsi" w:cstheme="minorHAnsi"/>
          <w:sz w:val="24"/>
          <w:szCs w:val="24"/>
          <w:lang w:val="en-US" w:eastAsia="hu-HU"/>
        </w:rPr>
        <w:t>complaint and redress mechanism</w:t>
      </w:r>
      <w:r w:rsidR="00567B65">
        <w:rPr>
          <w:rFonts w:asciiTheme="minorHAnsi" w:eastAsia="Times New Roman" w:hAnsiTheme="minorHAnsi" w:cstheme="minorHAnsi"/>
          <w:sz w:val="24"/>
          <w:szCs w:val="24"/>
          <w:lang w:val="en-US" w:eastAsia="hu-HU"/>
        </w:rPr>
        <w:t xml:space="preserve"> provided in Article </w:t>
      </w:r>
      <w:r w:rsidR="002B0180">
        <w:rPr>
          <w:rFonts w:asciiTheme="minorHAnsi" w:eastAsia="Times New Roman" w:hAnsiTheme="minorHAnsi" w:cstheme="minorHAnsi"/>
          <w:sz w:val="24"/>
          <w:szCs w:val="24"/>
          <w:lang w:val="en-US" w:eastAsia="hu-HU"/>
        </w:rPr>
        <w:t>1</w:t>
      </w:r>
      <w:r w:rsidR="00567B65">
        <w:rPr>
          <w:rFonts w:asciiTheme="minorHAnsi" w:eastAsia="Times New Roman" w:hAnsiTheme="minorHAnsi" w:cstheme="minorHAnsi"/>
          <w:sz w:val="24"/>
          <w:szCs w:val="24"/>
          <w:lang w:val="en-US" w:eastAsia="hu-HU"/>
        </w:rPr>
        <w:t>7(9) of the Directive</w:t>
      </w:r>
      <w:r w:rsidR="00CC724F">
        <w:rPr>
          <w:rFonts w:asciiTheme="minorHAnsi" w:eastAsia="Times New Roman" w:hAnsiTheme="minorHAnsi" w:cstheme="minorHAnsi"/>
          <w:sz w:val="24"/>
          <w:szCs w:val="24"/>
          <w:lang w:val="en-US" w:eastAsia="hu-HU"/>
        </w:rPr>
        <w:t xml:space="preserve"> would take care</w:t>
      </w:r>
      <w:r w:rsidR="00CE3BC1">
        <w:rPr>
          <w:rFonts w:asciiTheme="minorHAnsi" w:eastAsia="Times New Roman" w:hAnsiTheme="minorHAnsi" w:cstheme="minorHAnsi"/>
          <w:sz w:val="24"/>
          <w:szCs w:val="24"/>
          <w:lang w:val="en-US" w:eastAsia="hu-HU"/>
        </w:rPr>
        <w:t xml:space="preserve"> </w:t>
      </w:r>
      <w:r w:rsidR="00CC724F">
        <w:rPr>
          <w:rFonts w:asciiTheme="minorHAnsi" w:eastAsia="Times New Roman" w:hAnsiTheme="minorHAnsi" w:cstheme="minorHAnsi"/>
          <w:sz w:val="24"/>
          <w:szCs w:val="24"/>
          <w:lang w:val="en-US" w:eastAsia="hu-HU"/>
        </w:rPr>
        <w:t xml:space="preserve">of the cases where still some over-blocking </w:t>
      </w:r>
      <w:r>
        <w:rPr>
          <w:rFonts w:asciiTheme="minorHAnsi" w:eastAsia="Times New Roman" w:hAnsiTheme="minorHAnsi" w:cstheme="minorHAnsi"/>
          <w:sz w:val="24"/>
          <w:szCs w:val="24"/>
          <w:lang w:val="en-US" w:eastAsia="hu-HU"/>
        </w:rPr>
        <w:t>may h</w:t>
      </w:r>
      <w:r w:rsidR="00CC7BBD">
        <w:rPr>
          <w:rFonts w:asciiTheme="minorHAnsi" w:eastAsia="Times New Roman" w:hAnsiTheme="minorHAnsi" w:cstheme="minorHAnsi"/>
          <w:sz w:val="24"/>
          <w:szCs w:val="24"/>
          <w:lang w:val="en-US" w:eastAsia="hu-HU"/>
        </w:rPr>
        <w:t>appen</w:t>
      </w:r>
      <w:r w:rsidR="00CC724F">
        <w:rPr>
          <w:rFonts w:asciiTheme="minorHAnsi" w:eastAsia="Times New Roman" w:hAnsiTheme="minorHAnsi" w:cstheme="minorHAnsi"/>
          <w:sz w:val="24"/>
          <w:szCs w:val="24"/>
          <w:lang w:val="en-US" w:eastAsia="hu-HU"/>
        </w:rPr>
        <w:t xml:space="preserve">. </w:t>
      </w:r>
      <w:r w:rsidR="00567B65">
        <w:rPr>
          <w:rFonts w:asciiTheme="minorHAnsi" w:eastAsia="Times New Roman" w:hAnsiTheme="minorHAnsi" w:cstheme="minorHAnsi"/>
          <w:sz w:val="24"/>
          <w:szCs w:val="24"/>
          <w:lang w:val="en-US" w:eastAsia="hu-HU"/>
        </w:rPr>
        <w:t xml:space="preserve"> </w:t>
      </w:r>
    </w:p>
    <w:p w14:paraId="6D96E0C1" w14:textId="77777777" w:rsidR="00542B57" w:rsidRDefault="00542B57" w:rsidP="00A46F03">
      <w:pPr>
        <w:jc w:val="both"/>
        <w:rPr>
          <w:rFonts w:asciiTheme="minorHAnsi" w:eastAsia="Times New Roman" w:hAnsiTheme="minorHAnsi" w:cstheme="minorHAnsi"/>
          <w:sz w:val="24"/>
          <w:szCs w:val="24"/>
          <w:lang w:val="en-US" w:eastAsia="hu-HU"/>
        </w:rPr>
      </w:pPr>
    </w:p>
    <w:p w14:paraId="50392F3E" w14:textId="1AC9C87E" w:rsidR="00542B57" w:rsidRDefault="00542B57" w:rsidP="00542B57">
      <w:pPr>
        <w:jc w:val="both"/>
        <w:rPr>
          <w:rFonts w:asciiTheme="minorHAnsi" w:eastAsia="Times New Roman" w:hAnsiTheme="minorHAnsi" w:cstheme="minorHAnsi"/>
          <w:sz w:val="24"/>
          <w:szCs w:val="24"/>
          <w:lang w:val="en-US" w:eastAsia="hu-HU"/>
        </w:rPr>
      </w:pPr>
      <w:r>
        <w:rPr>
          <w:rFonts w:asciiTheme="minorHAnsi" w:eastAsia="Times New Roman" w:hAnsiTheme="minorHAnsi" w:cstheme="minorHAnsi"/>
          <w:sz w:val="24"/>
          <w:szCs w:val="24"/>
          <w:lang w:val="en-US" w:eastAsia="hu-HU"/>
        </w:rPr>
        <w:t xml:space="preserve">The “ugcprinciples” agreed upon about one-and-half </w:t>
      </w:r>
      <w:r w:rsidR="006E435E">
        <w:rPr>
          <w:rFonts w:asciiTheme="minorHAnsi" w:eastAsia="Times New Roman" w:hAnsiTheme="minorHAnsi" w:cstheme="minorHAnsi"/>
          <w:sz w:val="24"/>
          <w:szCs w:val="24"/>
          <w:lang w:val="en-US" w:eastAsia="hu-HU"/>
        </w:rPr>
        <w:t>decade</w:t>
      </w:r>
      <w:r w:rsidR="00F80231">
        <w:rPr>
          <w:rFonts w:asciiTheme="minorHAnsi" w:eastAsia="Times New Roman" w:hAnsiTheme="minorHAnsi" w:cstheme="minorHAnsi"/>
          <w:sz w:val="24"/>
          <w:szCs w:val="24"/>
          <w:lang w:val="en-US" w:eastAsia="hu-HU"/>
        </w:rPr>
        <w:t>s</w:t>
      </w:r>
      <w:r w:rsidR="006E435E">
        <w:rPr>
          <w:rFonts w:asciiTheme="minorHAnsi" w:eastAsia="Times New Roman" w:hAnsiTheme="minorHAnsi" w:cstheme="minorHAnsi"/>
          <w:sz w:val="24"/>
          <w:szCs w:val="24"/>
          <w:lang w:val="en-US" w:eastAsia="hu-HU"/>
        </w:rPr>
        <w:t xml:space="preserve"> </w:t>
      </w:r>
      <w:r>
        <w:rPr>
          <w:rFonts w:asciiTheme="minorHAnsi" w:eastAsia="Times New Roman" w:hAnsiTheme="minorHAnsi" w:cstheme="minorHAnsi"/>
          <w:sz w:val="24"/>
          <w:szCs w:val="24"/>
          <w:lang w:val="en-US" w:eastAsia="hu-HU"/>
        </w:rPr>
        <w:t xml:space="preserve">ago </w:t>
      </w:r>
      <w:r w:rsidR="00B01003">
        <w:rPr>
          <w:rFonts w:asciiTheme="minorHAnsi" w:eastAsia="Times New Roman" w:hAnsiTheme="minorHAnsi" w:cstheme="minorHAnsi"/>
          <w:sz w:val="24"/>
          <w:szCs w:val="24"/>
          <w:lang w:val="en-US" w:eastAsia="hu-HU"/>
        </w:rPr>
        <w:t xml:space="preserve">in the U.S. </w:t>
      </w:r>
      <w:r>
        <w:rPr>
          <w:rFonts w:asciiTheme="minorHAnsi" w:eastAsia="Times New Roman" w:hAnsiTheme="minorHAnsi" w:cstheme="minorHAnsi"/>
          <w:sz w:val="24"/>
          <w:szCs w:val="24"/>
          <w:lang w:val="en-US" w:eastAsia="hu-HU"/>
        </w:rPr>
        <w:t xml:space="preserve">between </w:t>
      </w:r>
      <w:r w:rsidR="006E435E">
        <w:rPr>
          <w:rFonts w:asciiTheme="minorHAnsi" w:eastAsia="Times New Roman" w:hAnsiTheme="minorHAnsi" w:cstheme="minorHAnsi"/>
          <w:sz w:val="24"/>
          <w:szCs w:val="24"/>
          <w:lang w:val="en-US" w:eastAsia="hu-HU"/>
        </w:rPr>
        <w:t xml:space="preserve">some </w:t>
      </w:r>
      <w:r>
        <w:rPr>
          <w:rFonts w:asciiTheme="minorHAnsi" w:eastAsia="Times New Roman" w:hAnsiTheme="minorHAnsi" w:cstheme="minorHAnsi"/>
          <w:sz w:val="24"/>
          <w:szCs w:val="24"/>
          <w:lang w:val="en-US" w:eastAsia="hu-HU"/>
        </w:rPr>
        <w:t xml:space="preserve">big rightholder companies and </w:t>
      </w:r>
      <w:r w:rsidR="006E435E">
        <w:rPr>
          <w:rFonts w:asciiTheme="minorHAnsi" w:eastAsia="Times New Roman" w:hAnsiTheme="minorHAnsi" w:cstheme="minorHAnsi"/>
          <w:sz w:val="24"/>
          <w:szCs w:val="24"/>
          <w:lang w:val="en-US" w:eastAsia="hu-HU"/>
        </w:rPr>
        <w:t xml:space="preserve">also big </w:t>
      </w:r>
      <w:r>
        <w:rPr>
          <w:rFonts w:asciiTheme="minorHAnsi" w:eastAsia="Times New Roman" w:hAnsiTheme="minorHAnsi" w:cstheme="minorHAnsi"/>
          <w:sz w:val="24"/>
          <w:szCs w:val="24"/>
          <w:lang w:val="en-US" w:eastAsia="hu-HU"/>
        </w:rPr>
        <w:t xml:space="preserve">companies </w:t>
      </w:r>
      <w:r w:rsidR="006E435E">
        <w:rPr>
          <w:rFonts w:asciiTheme="minorHAnsi" w:eastAsia="Times New Roman" w:hAnsiTheme="minorHAnsi" w:cstheme="minorHAnsi"/>
          <w:sz w:val="24"/>
          <w:szCs w:val="24"/>
          <w:lang w:val="en-US" w:eastAsia="hu-HU"/>
        </w:rPr>
        <w:t xml:space="preserve">that </w:t>
      </w:r>
      <w:r w:rsidR="0004434A">
        <w:rPr>
          <w:rFonts w:asciiTheme="minorHAnsi" w:eastAsia="Times New Roman" w:hAnsiTheme="minorHAnsi" w:cstheme="minorHAnsi"/>
          <w:sz w:val="24"/>
          <w:szCs w:val="24"/>
          <w:lang w:val="en-US" w:eastAsia="hu-HU"/>
        </w:rPr>
        <w:t>seem to</w:t>
      </w:r>
      <w:r>
        <w:rPr>
          <w:rFonts w:asciiTheme="minorHAnsi" w:eastAsia="Times New Roman" w:hAnsiTheme="minorHAnsi" w:cstheme="minorHAnsi"/>
          <w:sz w:val="24"/>
          <w:szCs w:val="24"/>
          <w:lang w:val="en-US" w:eastAsia="hu-HU"/>
        </w:rPr>
        <w:t xml:space="preserve"> correspond to the concept of OCSSPs under the DSM Directive offer some examples for such a solution. It is worthwhile quoting the relevant provisions in the agreement: </w:t>
      </w:r>
    </w:p>
    <w:p w14:paraId="3CD6435A" w14:textId="77777777" w:rsidR="00542B57" w:rsidRPr="00542B57" w:rsidRDefault="00542B57" w:rsidP="00542B57">
      <w:pPr>
        <w:jc w:val="both"/>
        <w:rPr>
          <w:rFonts w:asciiTheme="minorHAnsi" w:eastAsia="Times New Roman" w:hAnsiTheme="minorHAnsi" w:cstheme="minorHAnsi"/>
          <w:sz w:val="24"/>
          <w:szCs w:val="24"/>
          <w:lang w:val="en-US" w:eastAsia="hu-HU"/>
        </w:rPr>
      </w:pPr>
    </w:p>
    <w:p w14:paraId="02E2A7C5" w14:textId="77777777" w:rsidR="00542B57" w:rsidRDefault="00542B57" w:rsidP="00542B57">
      <w:pPr>
        <w:ind w:left="567"/>
        <w:jc w:val="both"/>
        <w:rPr>
          <w:rFonts w:asciiTheme="minorHAnsi" w:eastAsia="Times New Roman" w:hAnsiTheme="minorHAnsi" w:cstheme="minorHAnsi"/>
          <w:sz w:val="24"/>
          <w:szCs w:val="24"/>
          <w:lang w:val="en-US" w:eastAsia="hu-HU"/>
        </w:rPr>
      </w:pPr>
      <w:r w:rsidRPr="00542B57">
        <w:rPr>
          <w:rFonts w:asciiTheme="minorHAnsi" w:eastAsia="Times New Roman" w:hAnsiTheme="minorHAnsi" w:cstheme="minorHAnsi"/>
          <w:sz w:val="24"/>
          <w:szCs w:val="24"/>
          <w:lang w:val="en-US" w:eastAsia="hu-HU"/>
        </w:rPr>
        <w:t xml:space="preserve">In coming together around these Principles, Copyright Owners and UGC Services recognize that </w:t>
      </w:r>
      <w:r w:rsidRPr="00542B57">
        <w:rPr>
          <w:rFonts w:asciiTheme="minorHAnsi" w:eastAsia="Times New Roman" w:hAnsiTheme="minorHAnsi" w:cstheme="minorHAnsi"/>
          <w:i/>
          <w:sz w:val="24"/>
          <w:szCs w:val="24"/>
          <w:lang w:val="en-US" w:eastAsia="hu-HU"/>
        </w:rPr>
        <w:t>they share several important objectives</w:t>
      </w:r>
      <w:r w:rsidRPr="00542B57">
        <w:rPr>
          <w:rFonts w:asciiTheme="minorHAnsi" w:eastAsia="Times New Roman" w:hAnsiTheme="minorHAnsi" w:cstheme="minorHAnsi"/>
          <w:sz w:val="24"/>
          <w:szCs w:val="24"/>
          <w:lang w:val="en-US" w:eastAsia="hu-HU"/>
        </w:rPr>
        <w:t xml:space="preserve">: (1) </w:t>
      </w:r>
      <w:r w:rsidRPr="00542B57">
        <w:rPr>
          <w:rFonts w:asciiTheme="minorHAnsi" w:eastAsia="Times New Roman" w:hAnsiTheme="minorHAnsi" w:cstheme="minorHAnsi"/>
          <w:i/>
          <w:sz w:val="24"/>
          <w:szCs w:val="24"/>
          <w:lang w:val="en-US" w:eastAsia="hu-HU"/>
        </w:rPr>
        <w:t>the elimination of infringing content on UGC Services</w:t>
      </w:r>
      <w:r w:rsidRPr="00542B57">
        <w:rPr>
          <w:rFonts w:asciiTheme="minorHAnsi" w:eastAsia="Times New Roman" w:hAnsiTheme="minorHAnsi" w:cstheme="minorHAnsi"/>
          <w:sz w:val="24"/>
          <w:szCs w:val="24"/>
          <w:lang w:val="en-US" w:eastAsia="hu-HU"/>
        </w:rPr>
        <w:t xml:space="preserve">, (2) </w:t>
      </w:r>
      <w:r w:rsidRPr="00542B57">
        <w:rPr>
          <w:rFonts w:asciiTheme="minorHAnsi" w:eastAsia="Times New Roman" w:hAnsiTheme="minorHAnsi" w:cstheme="minorHAnsi"/>
          <w:i/>
          <w:sz w:val="24"/>
          <w:szCs w:val="24"/>
          <w:lang w:val="en-US" w:eastAsia="hu-HU"/>
        </w:rPr>
        <w:t>the encouragement of uploads of wholly original and authorized user-generated audio and video content</w:t>
      </w:r>
      <w:r w:rsidRPr="00542B57">
        <w:rPr>
          <w:rFonts w:asciiTheme="minorHAnsi" w:eastAsia="Times New Roman" w:hAnsiTheme="minorHAnsi" w:cstheme="minorHAnsi"/>
          <w:sz w:val="24"/>
          <w:szCs w:val="24"/>
          <w:lang w:val="en-US" w:eastAsia="hu-HU"/>
        </w:rPr>
        <w:t xml:space="preserve">, (3) </w:t>
      </w:r>
      <w:r w:rsidRPr="00542B57">
        <w:rPr>
          <w:rFonts w:asciiTheme="minorHAnsi" w:eastAsia="Times New Roman" w:hAnsiTheme="minorHAnsi" w:cstheme="minorHAnsi"/>
          <w:i/>
          <w:sz w:val="24"/>
          <w:szCs w:val="24"/>
          <w:lang w:val="en-US" w:eastAsia="hu-HU"/>
        </w:rPr>
        <w:t>the accommodation of fair use</w:t>
      </w:r>
      <w:r w:rsidRPr="00542B57">
        <w:rPr>
          <w:rFonts w:asciiTheme="minorHAnsi" w:eastAsia="Times New Roman" w:hAnsiTheme="minorHAnsi" w:cstheme="minorHAnsi"/>
          <w:sz w:val="24"/>
          <w:szCs w:val="24"/>
          <w:lang w:val="en-US" w:eastAsia="hu-HU"/>
        </w:rPr>
        <w:t xml:space="preserve"> of copyrighted content on UGC Services, and (4) </w:t>
      </w:r>
      <w:r w:rsidRPr="00542B57">
        <w:rPr>
          <w:rFonts w:asciiTheme="minorHAnsi" w:eastAsia="Times New Roman" w:hAnsiTheme="minorHAnsi" w:cstheme="minorHAnsi"/>
          <w:i/>
          <w:sz w:val="24"/>
          <w:szCs w:val="24"/>
          <w:lang w:val="en-US" w:eastAsia="hu-HU"/>
        </w:rPr>
        <w:t>the protection of legitimate interests of user privacy</w:t>
      </w:r>
      <w:r w:rsidRPr="00542B57">
        <w:rPr>
          <w:rFonts w:asciiTheme="minorHAnsi" w:eastAsia="Times New Roman" w:hAnsiTheme="minorHAnsi" w:cstheme="minorHAnsi"/>
          <w:sz w:val="24"/>
          <w:szCs w:val="24"/>
          <w:lang w:val="en-US" w:eastAsia="hu-HU"/>
        </w:rPr>
        <w:t>. We believe that adhering to these Principles will help UGC Services and Copyright Owners achieve those objectives</w:t>
      </w:r>
      <w:r w:rsidR="004C4D49">
        <w:rPr>
          <w:rFonts w:asciiTheme="minorHAnsi" w:eastAsia="Times New Roman" w:hAnsiTheme="minorHAnsi" w:cstheme="minorHAnsi"/>
          <w:sz w:val="24"/>
          <w:szCs w:val="24"/>
          <w:lang w:val="en-US" w:eastAsia="hu-HU"/>
        </w:rPr>
        <w:t>…</w:t>
      </w:r>
    </w:p>
    <w:p w14:paraId="4C4ADC66" w14:textId="77777777" w:rsidR="004C4D49" w:rsidRDefault="004C4D49" w:rsidP="00542B57">
      <w:pPr>
        <w:ind w:left="567"/>
        <w:jc w:val="both"/>
        <w:rPr>
          <w:rFonts w:asciiTheme="minorHAnsi" w:eastAsia="Times New Roman" w:hAnsiTheme="minorHAnsi" w:cstheme="minorHAnsi"/>
          <w:sz w:val="24"/>
          <w:szCs w:val="24"/>
          <w:lang w:val="en-US" w:eastAsia="hu-HU"/>
        </w:rPr>
      </w:pPr>
    </w:p>
    <w:p w14:paraId="6EF618DC" w14:textId="77777777" w:rsidR="004C4D49" w:rsidRPr="00D87B3A" w:rsidRDefault="004C4D49" w:rsidP="004C4D49">
      <w:pPr>
        <w:pStyle w:val="Listaszerbekezds"/>
        <w:numPr>
          <w:ilvl w:val="0"/>
          <w:numId w:val="8"/>
        </w:numPr>
        <w:tabs>
          <w:tab w:val="left" w:pos="851"/>
        </w:tabs>
        <w:ind w:left="567" w:firstLine="0"/>
        <w:jc w:val="both"/>
        <w:rPr>
          <w:rFonts w:eastAsia="Times New Roman" w:cstheme="minorHAnsi"/>
          <w:i/>
          <w:sz w:val="24"/>
          <w:szCs w:val="24"/>
          <w:lang w:eastAsia="hu-HU"/>
        </w:rPr>
      </w:pPr>
      <w:r w:rsidRPr="00D87B3A">
        <w:rPr>
          <w:rFonts w:eastAsia="Times New Roman" w:cstheme="minorHAnsi"/>
          <w:i/>
          <w:sz w:val="24"/>
          <w:szCs w:val="24"/>
          <w:lang w:eastAsia="hu-HU"/>
        </w:rPr>
        <w:t>If a Copyright Owner has provided</w:t>
      </w:r>
      <w:r w:rsidRPr="004C4D49">
        <w:rPr>
          <w:rFonts w:eastAsia="Times New Roman" w:cstheme="minorHAnsi"/>
          <w:sz w:val="24"/>
          <w:szCs w:val="24"/>
          <w:lang w:eastAsia="hu-HU"/>
        </w:rPr>
        <w:t xml:space="preserve">: (1) </w:t>
      </w:r>
      <w:r w:rsidRPr="00D87B3A">
        <w:rPr>
          <w:rFonts w:eastAsia="Times New Roman" w:cstheme="minorHAnsi"/>
          <w:i/>
          <w:sz w:val="24"/>
          <w:szCs w:val="24"/>
          <w:lang w:eastAsia="hu-HU"/>
        </w:rPr>
        <w:t>the reference data</w:t>
      </w:r>
      <w:r w:rsidRPr="004C4D49">
        <w:rPr>
          <w:rFonts w:eastAsia="Times New Roman" w:cstheme="minorHAnsi"/>
          <w:sz w:val="24"/>
          <w:szCs w:val="24"/>
          <w:lang w:eastAsia="hu-HU"/>
        </w:rPr>
        <w:t xml:space="preserve"> for content </w:t>
      </w:r>
      <w:r w:rsidRPr="00D87B3A">
        <w:rPr>
          <w:rFonts w:eastAsia="Times New Roman" w:cstheme="minorHAnsi"/>
          <w:i/>
          <w:sz w:val="24"/>
          <w:szCs w:val="24"/>
          <w:lang w:eastAsia="hu-HU"/>
        </w:rPr>
        <w:t>required to establish a match with user-uploaded content</w:t>
      </w:r>
      <w:r w:rsidRPr="004C4D49">
        <w:rPr>
          <w:rFonts w:eastAsia="Times New Roman" w:cstheme="minorHAnsi"/>
          <w:sz w:val="24"/>
          <w:szCs w:val="24"/>
          <w:lang w:eastAsia="hu-HU"/>
        </w:rPr>
        <w:t xml:space="preserve">, (2) </w:t>
      </w:r>
      <w:r w:rsidRPr="00D87B3A">
        <w:rPr>
          <w:rFonts w:eastAsia="Times New Roman" w:cstheme="minorHAnsi"/>
          <w:i/>
          <w:sz w:val="24"/>
          <w:szCs w:val="24"/>
          <w:lang w:eastAsia="hu-HU"/>
        </w:rPr>
        <w:t>instructions regarding how matches should be treated,</w:t>
      </w:r>
      <w:r w:rsidRPr="004C4D49">
        <w:rPr>
          <w:rFonts w:eastAsia="Times New Roman" w:cstheme="minorHAnsi"/>
          <w:sz w:val="24"/>
          <w:szCs w:val="24"/>
          <w:lang w:eastAsia="hu-HU"/>
        </w:rPr>
        <w:t xml:space="preserve"> and (3) </w:t>
      </w:r>
      <w:r w:rsidRPr="00D87B3A">
        <w:rPr>
          <w:rFonts w:eastAsia="Times New Roman" w:cstheme="minorHAnsi"/>
          <w:i/>
          <w:sz w:val="24"/>
          <w:szCs w:val="24"/>
          <w:lang w:eastAsia="hu-HU"/>
        </w:rPr>
        <w:t xml:space="preserve">representations made in good faith that it possesses the appropriate rights </w:t>
      </w:r>
      <w:r w:rsidRPr="004C4D49">
        <w:rPr>
          <w:rFonts w:eastAsia="Times New Roman" w:cstheme="minorHAnsi"/>
          <w:sz w:val="24"/>
          <w:szCs w:val="24"/>
          <w:lang w:eastAsia="hu-HU"/>
        </w:rPr>
        <w:t xml:space="preserve">regarding the content (collectively, “Reference Material”), then </w:t>
      </w:r>
      <w:r w:rsidRPr="00D87B3A">
        <w:rPr>
          <w:rFonts w:eastAsia="Times New Roman" w:cstheme="minorHAnsi"/>
          <w:i/>
          <w:sz w:val="24"/>
          <w:szCs w:val="24"/>
          <w:lang w:eastAsia="hu-HU"/>
        </w:rPr>
        <w:t>the UGC Service should apply the Identification Technology to that content to implement the Filtering Process described below…</w:t>
      </w:r>
    </w:p>
    <w:p w14:paraId="72249EAA" w14:textId="77777777" w:rsidR="004C4D49" w:rsidRPr="004C4D49" w:rsidRDefault="004C4D49" w:rsidP="004C4D49">
      <w:pPr>
        <w:tabs>
          <w:tab w:val="left" w:pos="851"/>
        </w:tabs>
        <w:ind w:left="567"/>
        <w:jc w:val="both"/>
        <w:rPr>
          <w:rFonts w:eastAsia="Times New Roman" w:cstheme="minorHAnsi"/>
          <w:sz w:val="24"/>
          <w:szCs w:val="24"/>
          <w:lang w:eastAsia="hu-HU"/>
        </w:rPr>
      </w:pPr>
    </w:p>
    <w:p w14:paraId="01E7CB95" w14:textId="77777777" w:rsidR="00D87B3A" w:rsidRDefault="004C4D49" w:rsidP="004C4D49">
      <w:pPr>
        <w:pStyle w:val="Listaszerbekezds"/>
        <w:numPr>
          <w:ilvl w:val="0"/>
          <w:numId w:val="8"/>
        </w:numPr>
        <w:tabs>
          <w:tab w:val="left" w:pos="851"/>
        </w:tabs>
        <w:ind w:left="567" w:firstLine="0"/>
        <w:jc w:val="both"/>
        <w:rPr>
          <w:rFonts w:eastAsia="Times New Roman" w:cstheme="minorHAnsi"/>
          <w:sz w:val="24"/>
          <w:szCs w:val="24"/>
          <w:lang w:eastAsia="hu-HU"/>
        </w:rPr>
      </w:pPr>
      <w:r w:rsidRPr="004C4D49">
        <w:rPr>
          <w:rFonts w:eastAsia="Times New Roman" w:cstheme="minorHAnsi"/>
          <w:sz w:val="24"/>
          <w:szCs w:val="24"/>
          <w:lang w:eastAsia="hu-HU"/>
        </w:rPr>
        <w:t>The Identification Technology should use Reference Material to identify user-uploaded audio and video content that matches the reference data and should permit Copyright Owners to indicate how matches should be treated</w:t>
      </w:r>
      <w:r>
        <w:rPr>
          <w:rFonts w:eastAsia="Times New Roman" w:cstheme="minorHAnsi"/>
          <w:sz w:val="24"/>
          <w:szCs w:val="24"/>
          <w:lang w:eastAsia="hu-HU"/>
        </w:rPr>
        <w:t xml:space="preserve">. </w:t>
      </w:r>
    </w:p>
    <w:p w14:paraId="3479D54B" w14:textId="77777777" w:rsidR="00D87B3A" w:rsidRPr="00D87B3A" w:rsidRDefault="00D87B3A" w:rsidP="00D87B3A">
      <w:pPr>
        <w:pStyle w:val="Listaszerbekezds"/>
        <w:rPr>
          <w:rFonts w:eastAsia="Times New Roman" w:cstheme="minorHAnsi"/>
          <w:sz w:val="24"/>
          <w:szCs w:val="24"/>
          <w:lang w:eastAsia="hu-HU"/>
        </w:rPr>
      </w:pPr>
    </w:p>
    <w:p w14:paraId="40F860A3" w14:textId="77777777" w:rsidR="004C4D49" w:rsidRDefault="004C4D49" w:rsidP="004C4D49">
      <w:pPr>
        <w:pStyle w:val="Listaszerbekezds"/>
        <w:numPr>
          <w:ilvl w:val="0"/>
          <w:numId w:val="8"/>
        </w:numPr>
        <w:tabs>
          <w:tab w:val="left" w:pos="851"/>
        </w:tabs>
        <w:ind w:left="567" w:firstLine="0"/>
        <w:jc w:val="both"/>
        <w:rPr>
          <w:rFonts w:eastAsia="Times New Roman" w:cstheme="minorHAnsi"/>
          <w:sz w:val="24"/>
          <w:szCs w:val="24"/>
          <w:lang w:eastAsia="hu-HU"/>
        </w:rPr>
      </w:pPr>
      <w:r w:rsidRPr="00542B57">
        <w:rPr>
          <w:rFonts w:eastAsia="Times New Roman" w:cstheme="minorHAnsi"/>
          <w:i/>
          <w:sz w:val="24"/>
          <w:szCs w:val="24"/>
          <w:lang w:eastAsia="hu-HU"/>
        </w:rPr>
        <w:t xml:space="preserve">If the Copyright Owner indicates in the applicable Reference Material that it wishes to block </w:t>
      </w:r>
      <w:r w:rsidRPr="00542B57">
        <w:rPr>
          <w:rFonts w:eastAsia="Times New Roman" w:cstheme="minorHAnsi"/>
          <w:sz w:val="24"/>
          <w:szCs w:val="24"/>
          <w:lang w:eastAsia="hu-HU"/>
        </w:rPr>
        <w:t xml:space="preserve">user-uploaded content that matches the reference data, </w:t>
      </w:r>
      <w:r w:rsidRPr="00542B57">
        <w:rPr>
          <w:rFonts w:eastAsia="Times New Roman" w:cstheme="minorHAnsi"/>
          <w:i/>
          <w:sz w:val="24"/>
          <w:szCs w:val="24"/>
          <w:lang w:eastAsia="hu-HU"/>
        </w:rPr>
        <w:t>the UGC Service should use the Identification Technology to block</w:t>
      </w:r>
      <w:r w:rsidRPr="00542B57">
        <w:rPr>
          <w:rFonts w:eastAsia="Times New Roman" w:cstheme="minorHAnsi"/>
          <w:sz w:val="24"/>
          <w:szCs w:val="24"/>
          <w:lang w:eastAsia="hu-HU"/>
        </w:rPr>
        <w:t xml:space="preserve"> such matching content before that content would otherwise be made available on its service (“Filtering Process”). </w:t>
      </w:r>
      <w:r w:rsidRPr="00544DB9">
        <w:rPr>
          <w:rFonts w:eastAsia="Times New Roman" w:cstheme="minorHAnsi"/>
          <w:i/>
          <w:sz w:val="24"/>
          <w:szCs w:val="24"/>
          <w:u w:val="single"/>
          <w:lang w:eastAsia="hu-HU"/>
        </w:rPr>
        <w:t>The Copyright Owner may indicate in the applicable Reference Material that it wishes to exercise an alternative to blocking (such as allowing the content to be uploaded, licensing use of the content or other options)</w:t>
      </w:r>
      <w:r w:rsidRPr="00542B57">
        <w:rPr>
          <w:rFonts w:eastAsia="Times New Roman" w:cstheme="minorHAnsi"/>
          <w:sz w:val="24"/>
          <w:szCs w:val="24"/>
          <w:lang w:eastAsia="hu-HU"/>
        </w:rPr>
        <w:t>, in which case, the UGC Service may follow those instructions or block the content, in its discretion.</w:t>
      </w:r>
      <w:r w:rsidR="006E435E">
        <w:rPr>
          <w:rStyle w:val="Lbjegyzet-hivatkozs"/>
          <w:rFonts w:eastAsia="Times New Roman" w:cstheme="minorHAnsi"/>
          <w:sz w:val="24"/>
          <w:szCs w:val="24"/>
          <w:lang w:eastAsia="hu-HU"/>
        </w:rPr>
        <w:footnoteReference w:id="19"/>
      </w:r>
      <w:r w:rsidR="00D87B3A">
        <w:rPr>
          <w:rFonts w:eastAsia="Times New Roman" w:cstheme="minorHAnsi"/>
          <w:sz w:val="24"/>
          <w:szCs w:val="24"/>
          <w:lang w:eastAsia="hu-HU"/>
        </w:rPr>
        <w:t xml:space="preserve"> (Emphasis added.)</w:t>
      </w:r>
    </w:p>
    <w:p w14:paraId="13A01526" w14:textId="77777777" w:rsidR="00D87B3A" w:rsidRPr="00D87B3A" w:rsidRDefault="00D87B3A" w:rsidP="00D87B3A">
      <w:pPr>
        <w:pStyle w:val="Listaszerbekezds"/>
        <w:rPr>
          <w:rFonts w:eastAsia="Times New Roman" w:cstheme="minorHAnsi"/>
          <w:sz w:val="24"/>
          <w:szCs w:val="24"/>
          <w:lang w:eastAsia="hu-HU"/>
        </w:rPr>
      </w:pPr>
    </w:p>
    <w:p w14:paraId="7F5814AA" w14:textId="009E82A3" w:rsidR="00E420D0" w:rsidRPr="006C3F4C" w:rsidRDefault="0004434A" w:rsidP="00D87B3A">
      <w:pPr>
        <w:tabs>
          <w:tab w:val="left" w:pos="851"/>
        </w:tabs>
        <w:jc w:val="both"/>
        <w:rPr>
          <w:rFonts w:asciiTheme="minorHAnsi" w:eastAsia="Times New Roman" w:hAnsiTheme="minorHAnsi" w:cstheme="minorHAnsi"/>
          <w:sz w:val="24"/>
          <w:szCs w:val="24"/>
          <w:lang w:val="en-US" w:eastAsia="hu-HU"/>
        </w:rPr>
      </w:pPr>
      <w:r>
        <w:rPr>
          <w:rFonts w:eastAsia="Times New Roman" w:cstheme="minorHAnsi"/>
          <w:sz w:val="24"/>
          <w:szCs w:val="24"/>
          <w:lang w:val="en-US" w:eastAsia="hu-HU"/>
        </w:rPr>
        <w:t>First, t</w:t>
      </w:r>
      <w:r w:rsidR="00D87B3A" w:rsidRPr="006C3F4C">
        <w:rPr>
          <w:rFonts w:eastAsia="Times New Roman" w:cstheme="minorHAnsi"/>
          <w:sz w:val="24"/>
          <w:szCs w:val="24"/>
          <w:lang w:val="en-US" w:eastAsia="hu-HU"/>
        </w:rPr>
        <w:t>h</w:t>
      </w:r>
      <w:r w:rsidR="006C3F4C">
        <w:rPr>
          <w:rFonts w:eastAsia="Times New Roman" w:cstheme="minorHAnsi"/>
          <w:sz w:val="24"/>
          <w:szCs w:val="24"/>
          <w:lang w:val="en-US" w:eastAsia="hu-HU"/>
        </w:rPr>
        <w:t xml:space="preserve">rough the </w:t>
      </w:r>
      <w:r w:rsidR="006C3F4C" w:rsidRPr="006C3F4C">
        <w:rPr>
          <w:rFonts w:eastAsia="Times New Roman" w:cstheme="minorHAnsi"/>
          <w:sz w:val="24"/>
          <w:szCs w:val="24"/>
          <w:lang w:val="en-US" w:eastAsia="hu-HU"/>
        </w:rPr>
        <w:t xml:space="preserve">conclusion </w:t>
      </w:r>
      <w:r w:rsidR="006C3F4C">
        <w:rPr>
          <w:rFonts w:eastAsia="Times New Roman" w:cstheme="minorHAnsi"/>
          <w:sz w:val="24"/>
          <w:szCs w:val="24"/>
          <w:lang w:val="en-US" w:eastAsia="hu-HU"/>
        </w:rPr>
        <w:t xml:space="preserve">and application </w:t>
      </w:r>
      <w:r w:rsidR="00D87B3A" w:rsidRPr="006C3F4C">
        <w:rPr>
          <w:rFonts w:eastAsia="Times New Roman" w:cstheme="minorHAnsi"/>
          <w:sz w:val="24"/>
          <w:szCs w:val="24"/>
          <w:lang w:val="en-US" w:eastAsia="hu-HU"/>
        </w:rPr>
        <w:t xml:space="preserve">of such agreements or MoUs </w:t>
      </w:r>
      <w:r w:rsidR="003A5C22">
        <w:rPr>
          <w:rFonts w:eastAsia="Times New Roman" w:cstheme="minorHAnsi"/>
          <w:sz w:val="24"/>
          <w:szCs w:val="24"/>
          <w:lang w:val="en-US" w:eastAsia="hu-HU"/>
        </w:rPr>
        <w:t xml:space="preserve">as the one on the ugcprinciples.com website </w:t>
      </w:r>
      <w:r w:rsidR="00D87B3A" w:rsidRPr="006C3F4C">
        <w:rPr>
          <w:rFonts w:eastAsia="Times New Roman" w:cstheme="minorHAnsi"/>
          <w:sz w:val="24"/>
          <w:szCs w:val="24"/>
          <w:lang w:val="en-US" w:eastAsia="hu-HU"/>
        </w:rPr>
        <w:t>allowing differentiation</w:t>
      </w:r>
      <w:r w:rsidR="00CC724F">
        <w:rPr>
          <w:rFonts w:eastAsia="Times New Roman" w:cstheme="minorHAnsi"/>
          <w:sz w:val="24"/>
          <w:szCs w:val="24"/>
          <w:lang w:val="en-US" w:eastAsia="hu-HU"/>
        </w:rPr>
        <w:t xml:space="preserve"> – </w:t>
      </w:r>
      <w:r w:rsidR="00B01003">
        <w:rPr>
          <w:rFonts w:eastAsia="Times New Roman" w:cstheme="minorHAnsi"/>
          <w:sz w:val="24"/>
          <w:szCs w:val="24"/>
          <w:lang w:val="en-US" w:eastAsia="hu-HU"/>
        </w:rPr>
        <w:t xml:space="preserve">and, </w:t>
      </w:r>
      <w:r w:rsidR="00CC724F">
        <w:rPr>
          <w:rFonts w:eastAsia="Times New Roman" w:cstheme="minorHAnsi"/>
          <w:sz w:val="24"/>
          <w:szCs w:val="24"/>
          <w:lang w:val="en-US" w:eastAsia="hu-HU"/>
        </w:rPr>
        <w:t>in appropriate case</w:t>
      </w:r>
      <w:r w:rsidR="00B01003">
        <w:rPr>
          <w:rFonts w:eastAsia="Times New Roman" w:cstheme="minorHAnsi"/>
          <w:sz w:val="24"/>
          <w:szCs w:val="24"/>
          <w:lang w:val="en-US" w:eastAsia="hu-HU"/>
        </w:rPr>
        <w:t>s,</w:t>
      </w:r>
      <w:r w:rsidR="00CC724F">
        <w:rPr>
          <w:rFonts w:eastAsia="Times New Roman" w:cstheme="minorHAnsi"/>
          <w:sz w:val="24"/>
          <w:szCs w:val="24"/>
          <w:lang w:val="en-US" w:eastAsia="hu-HU"/>
        </w:rPr>
        <w:t xml:space="preserve"> the limitation – </w:t>
      </w:r>
      <w:r w:rsidR="00D87B3A" w:rsidRPr="006C3F4C">
        <w:rPr>
          <w:rFonts w:eastAsia="Times New Roman" w:cstheme="minorHAnsi"/>
          <w:sz w:val="24"/>
          <w:szCs w:val="24"/>
          <w:lang w:val="en-US" w:eastAsia="hu-HU"/>
        </w:rPr>
        <w:t xml:space="preserve">of the application of the measures </w:t>
      </w:r>
      <w:r w:rsidR="00E420D0" w:rsidRPr="006C3F4C">
        <w:rPr>
          <w:rFonts w:eastAsia="Times New Roman" w:cstheme="minorHAnsi"/>
          <w:sz w:val="24"/>
          <w:szCs w:val="24"/>
          <w:lang w:val="en-US" w:eastAsia="hu-HU"/>
        </w:rPr>
        <w:t>„</w:t>
      </w:r>
      <w:r w:rsidR="00D87B3A" w:rsidRPr="006C3F4C">
        <w:rPr>
          <w:rFonts w:eastAsia="Times New Roman" w:cstheme="minorHAnsi"/>
          <w:sz w:val="24"/>
          <w:szCs w:val="24"/>
          <w:lang w:val="en-US" w:eastAsia="hu-HU"/>
        </w:rPr>
        <w:t>to ensure un</w:t>
      </w:r>
      <w:r w:rsidR="006C3F4C">
        <w:rPr>
          <w:rFonts w:eastAsia="Times New Roman" w:cstheme="minorHAnsi"/>
          <w:sz w:val="24"/>
          <w:szCs w:val="24"/>
          <w:lang w:val="en-US" w:eastAsia="hu-HU"/>
        </w:rPr>
        <w:t>a</w:t>
      </w:r>
      <w:r w:rsidR="00D87B3A" w:rsidRPr="006C3F4C">
        <w:rPr>
          <w:rFonts w:asciiTheme="minorHAnsi" w:eastAsia="Times New Roman" w:hAnsiTheme="minorHAnsi" w:cstheme="minorHAnsi"/>
          <w:sz w:val="24"/>
          <w:szCs w:val="24"/>
          <w:lang w:val="en-US" w:eastAsia="hu-HU"/>
        </w:rPr>
        <w:t>vailability of specific works and other subject matter for which the rightholders have provided… necessary information”</w:t>
      </w:r>
      <w:r w:rsidR="00E420D0" w:rsidRPr="006C3F4C">
        <w:rPr>
          <w:rFonts w:asciiTheme="minorHAnsi" w:eastAsia="Times New Roman" w:hAnsiTheme="minorHAnsi" w:cstheme="minorHAnsi"/>
          <w:sz w:val="24"/>
          <w:szCs w:val="24"/>
          <w:lang w:val="en-US" w:eastAsia="hu-HU"/>
        </w:rPr>
        <w:t xml:space="preserve"> the scope of “over-blocking” may be reduced significantly. </w:t>
      </w:r>
    </w:p>
    <w:p w14:paraId="711DB0FF" w14:textId="77777777" w:rsidR="00E420D0" w:rsidRPr="006C3F4C" w:rsidRDefault="00E420D0" w:rsidP="00D87B3A">
      <w:pPr>
        <w:tabs>
          <w:tab w:val="left" w:pos="851"/>
        </w:tabs>
        <w:jc w:val="both"/>
        <w:rPr>
          <w:rFonts w:asciiTheme="minorHAnsi" w:eastAsia="Times New Roman" w:hAnsiTheme="minorHAnsi" w:cstheme="minorHAnsi"/>
          <w:sz w:val="24"/>
          <w:szCs w:val="24"/>
          <w:lang w:val="en-US" w:eastAsia="hu-HU"/>
        </w:rPr>
      </w:pPr>
    </w:p>
    <w:p w14:paraId="1B1C0E91" w14:textId="3C3C69E1" w:rsidR="005B17A1" w:rsidRDefault="00E420D0" w:rsidP="00D87B3A">
      <w:pPr>
        <w:tabs>
          <w:tab w:val="left" w:pos="851"/>
        </w:tabs>
        <w:jc w:val="both"/>
        <w:rPr>
          <w:rFonts w:asciiTheme="minorHAnsi" w:eastAsia="Times New Roman" w:hAnsiTheme="minorHAnsi" w:cstheme="minorHAnsi"/>
          <w:sz w:val="24"/>
          <w:szCs w:val="24"/>
          <w:lang w:val="en-US" w:eastAsia="hu-HU"/>
        </w:rPr>
      </w:pPr>
      <w:r>
        <w:rPr>
          <w:rFonts w:asciiTheme="minorHAnsi" w:eastAsia="Times New Roman" w:hAnsiTheme="minorHAnsi" w:cstheme="minorHAnsi"/>
          <w:sz w:val="24"/>
          <w:szCs w:val="24"/>
          <w:lang w:val="en-US" w:eastAsia="hu-HU"/>
        </w:rPr>
        <w:t xml:space="preserve">Second, even if where no such complete agreements </w:t>
      </w:r>
      <w:r w:rsidR="003A5C22">
        <w:rPr>
          <w:rFonts w:asciiTheme="minorHAnsi" w:eastAsia="Times New Roman" w:hAnsiTheme="minorHAnsi" w:cstheme="minorHAnsi"/>
          <w:sz w:val="24"/>
          <w:szCs w:val="24"/>
          <w:lang w:val="en-US" w:eastAsia="hu-HU"/>
        </w:rPr>
        <w:t>are</w:t>
      </w:r>
      <w:r>
        <w:rPr>
          <w:rFonts w:asciiTheme="minorHAnsi" w:eastAsia="Times New Roman" w:hAnsiTheme="minorHAnsi" w:cstheme="minorHAnsi"/>
          <w:sz w:val="24"/>
          <w:szCs w:val="24"/>
          <w:lang w:val="en-US" w:eastAsia="hu-HU"/>
        </w:rPr>
        <w:t xml:space="preserve"> made, </w:t>
      </w:r>
      <w:r w:rsidR="0078581D">
        <w:rPr>
          <w:rFonts w:asciiTheme="minorHAnsi" w:eastAsia="Times New Roman" w:hAnsiTheme="minorHAnsi" w:cstheme="minorHAnsi"/>
          <w:sz w:val="24"/>
          <w:szCs w:val="24"/>
          <w:lang w:val="en-US" w:eastAsia="hu-HU"/>
        </w:rPr>
        <w:t xml:space="preserve">the identification of </w:t>
      </w:r>
      <w:r>
        <w:rPr>
          <w:rFonts w:asciiTheme="minorHAnsi" w:eastAsia="Times New Roman" w:hAnsiTheme="minorHAnsi" w:cstheme="minorHAnsi"/>
          <w:sz w:val="24"/>
          <w:szCs w:val="24"/>
          <w:lang w:val="en-US" w:eastAsia="hu-HU"/>
        </w:rPr>
        <w:t>certain typical forms of uploads might be use</w:t>
      </w:r>
      <w:r w:rsidR="0078581D">
        <w:rPr>
          <w:rFonts w:asciiTheme="minorHAnsi" w:eastAsia="Times New Roman" w:hAnsiTheme="minorHAnsi" w:cstheme="minorHAnsi"/>
          <w:sz w:val="24"/>
          <w:szCs w:val="24"/>
          <w:lang w:val="en-US" w:eastAsia="hu-HU"/>
        </w:rPr>
        <w:t xml:space="preserve">ful </w:t>
      </w:r>
      <w:r>
        <w:rPr>
          <w:rFonts w:asciiTheme="minorHAnsi" w:eastAsia="Times New Roman" w:hAnsiTheme="minorHAnsi" w:cstheme="minorHAnsi"/>
          <w:sz w:val="24"/>
          <w:szCs w:val="24"/>
          <w:lang w:val="en-US" w:eastAsia="hu-HU"/>
        </w:rPr>
        <w:t xml:space="preserve">also in a </w:t>
      </w:r>
      <w:r w:rsidRPr="003A5C22">
        <w:rPr>
          <w:rFonts w:asciiTheme="minorHAnsi" w:eastAsia="Times New Roman" w:hAnsiTheme="minorHAnsi" w:cstheme="minorHAnsi"/>
          <w:i/>
          <w:sz w:val="24"/>
          <w:szCs w:val="24"/>
          <w:lang w:val="en-US" w:eastAsia="hu-HU"/>
        </w:rPr>
        <w:t>post-blocking</w:t>
      </w:r>
      <w:r>
        <w:rPr>
          <w:rFonts w:asciiTheme="minorHAnsi" w:eastAsia="Times New Roman" w:hAnsiTheme="minorHAnsi" w:cstheme="minorHAnsi"/>
          <w:sz w:val="24"/>
          <w:szCs w:val="24"/>
          <w:lang w:val="en-US" w:eastAsia="hu-HU"/>
        </w:rPr>
        <w:t xml:space="preserve"> situation</w:t>
      </w:r>
      <w:r w:rsidR="0078581D">
        <w:rPr>
          <w:rFonts w:asciiTheme="minorHAnsi" w:eastAsia="Times New Roman" w:hAnsiTheme="minorHAnsi" w:cstheme="minorHAnsi"/>
          <w:sz w:val="24"/>
          <w:szCs w:val="24"/>
          <w:lang w:val="en-US" w:eastAsia="hu-HU"/>
        </w:rPr>
        <w:t>;</w:t>
      </w:r>
      <w:r>
        <w:rPr>
          <w:rFonts w:asciiTheme="minorHAnsi" w:eastAsia="Times New Roman" w:hAnsiTheme="minorHAnsi" w:cstheme="minorHAnsi"/>
          <w:sz w:val="24"/>
          <w:szCs w:val="24"/>
          <w:lang w:val="en-US" w:eastAsia="hu-HU"/>
        </w:rPr>
        <w:t xml:space="preserve"> for example</w:t>
      </w:r>
      <w:r w:rsidR="0078581D">
        <w:rPr>
          <w:rFonts w:asciiTheme="minorHAnsi" w:eastAsia="Times New Roman" w:hAnsiTheme="minorHAnsi" w:cstheme="minorHAnsi"/>
          <w:sz w:val="24"/>
          <w:szCs w:val="24"/>
          <w:lang w:val="en-US" w:eastAsia="hu-HU"/>
        </w:rPr>
        <w:t>,</w:t>
      </w:r>
      <w:r w:rsidR="006C3F4C">
        <w:rPr>
          <w:rFonts w:asciiTheme="minorHAnsi" w:eastAsia="Times New Roman" w:hAnsiTheme="minorHAnsi" w:cstheme="minorHAnsi"/>
          <w:sz w:val="24"/>
          <w:szCs w:val="24"/>
          <w:lang w:val="en-US" w:eastAsia="hu-HU"/>
        </w:rPr>
        <w:t xml:space="preserve"> through </w:t>
      </w:r>
      <w:r w:rsidR="0078581D">
        <w:rPr>
          <w:rFonts w:asciiTheme="minorHAnsi" w:eastAsia="Times New Roman" w:hAnsiTheme="minorHAnsi" w:cstheme="minorHAnsi"/>
          <w:sz w:val="24"/>
          <w:szCs w:val="24"/>
          <w:lang w:val="en-US" w:eastAsia="hu-HU"/>
        </w:rPr>
        <w:t>some</w:t>
      </w:r>
      <w:r>
        <w:rPr>
          <w:rFonts w:asciiTheme="minorHAnsi" w:eastAsia="Times New Roman" w:hAnsiTheme="minorHAnsi" w:cstheme="minorHAnsi"/>
          <w:sz w:val="24"/>
          <w:szCs w:val="24"/>
          <w:lang w:val="en-US" w:eastAsia="hu-HU"/>
        </w:rPr>
        <w:t xml:space="preserve"> </w:t>
      </w:r>
      <w:r w:rsidR="005B17A1">
        <w:rPr>
          <w:rFonts w:asciiTheme="minorHAnsi" w:eastAsia="Times New Roman" w:hAnsiTheme="minorHAnsi" w:cstheme="minorHAnsi"/>
          <w:sz w:val="24"/>
          <w:szCs w:val="24"/>
          <w:lang w:val="en-US" w:eastAsia="hu-HU"/>
        </w:rPr>
        <w:t xml:space="preserve">expedited consultation </w:t>
      </w:r>
      <w:r w:rsidR="0042575D">
        <w:rPr>
          <w:rFonts w:asciiTheme="minorHAnsi" w:eastAsia="Times New Roman" w:hAnsiTheme="minorHAnsi" w:cstheme="minorHAnsi"/>
          <w:sz w:val="24"/>
          <w:szCs w:val="24"/>
          <w:lang w:val="en-US" w:eastAsia="hu-HU"/>
        </w:rPr>
        <w:t>procedure</w:t>
      </w:r>
      <w:r w:rsidR="00B01003">
        <w:rPr>
          <w:rFonts w:asciiTheme="minorHAnsi" w:eastAsia="Times New Roman" w:hAnsiTheme="minorHAnsi" w:cstheme="minorHAnsi"/>
          <w:sz w:val="24"/>
          <w:szCs w:val="24"/>
          <w:lang w:val="en-US" w:eastAsia="hu-HU"/>
        </w:rPr>
        <w:t xml:space="preserve"> </w:t>
      </w:r>
      <w:r w:rsidR="005B17A1">
        <w:rPr>
          <w:rFonts w:asciiTheme="minorHAnsi" w:eastAsia="Times New Roman" w:hAnsiTheme="minorHAnsi" w:cstheme="minorHAnsi"/>
          <w:sz w:val="24"/>
          <w:szCs w:val="24"/>
          <w:lang w:val="en-US" w:eastAsia="hu-HU"/>
        </w:rPr>
        <w:t>agreed upon</w:t>
      </w:r>
      <w:r w:rsidR="006C3F4C">
        <w:rPr>
          <w:rFonts w:asciiTheme="minorHAnsi" w:eastAsia="Times New Roman" w:hAnsiTheme="minorHAnsi" w:cstheme="minorHAnsi"/>
          <w:sz w:val="24"/>
          <w:szCs w:val="24"/>
          <w:lang w:val="en-US" w:eastAsia="hu-HU"/>
        </w:rPr>
        <w:t xml:space="preserve"> by the OCSSPs and the rightholders</w:t>
      </w:r>
      <w:r w:rsidR="005B17A1">
        <w:rPr>
          <w:rFonts w:asciiTheme="minorHAnsi" w:eastAsia="Times New Roman" w:hAnsiTheme="minorHAnsi" w:cstheme="minorHAnsi"/>
          <w:sz w:val="24"/>
          <w:szCs w:val="24"/>
          <w:lang w:val="en-US" w:eastAsia="hu-HU"/>
        </w:rPr>
        <w:t xml:space="preserve">, as a result of which the possible period of blocking might be minimized in </w:t>
      </w:r>
      <w:r w:rsidR="006C3F4C">
        <w:rPr>
          <w:rFonts w:asciiTheme="minorHAnsi" w:eastAsia="Times New Roman" w:hAnsiTheme="minorHAnsi" w:cstheme="minorHAnsi"/>
          <w:sz w:val="24"/>
          <w:szCs w:val="24"/>
          <w:lang w:val="en-US" w:eastAsia="hu-HU"/>
        </w:rPr>
        <w:t xml:space="preserve">the </w:t>
      </w:r>
      <w:r w:rsidR="005B17A1">
        <w:rPr>
          <w:rFonts w:asciiTheme="minorHAnsi" w:eastAsia="Times New Roman" w:hAnsiTheme="minorHAnsi" w:cstheme="minorHAnsi"/>
          <w:sz w:val="24"/>
          <w:szCs w:val="24"/>
          <w:lang w:val="en-US" w:eastAsia="hu-HU"/>
        </w:rPr>
        <w:t>justified cases.</w:t>
      </w:r>
    </w:p>
    <w:p w14:paraId="1E6781C2" w14:textId="77777777" w:rsidR="005B17A1" w:rsidRDefault="005B17A1" w:rsidP="00D87B3A">
      <w:pPr>
        <w:tabs>
          <w:tab w:val="left" w:pos="851"/>
        </w:tabs>
        <w:jc w:val="both"/>
        <w:rPr>
          <w:rFonts w:asciiTheme="minorHAnsi" w:eastAsia="Times New Roman" w:hAnsiTheme="minorHAnsi" w:cstheme="minorHAnsi"/>
          <w:sz w:val="24"/>
          <w:szCs w:val="24"/>
          <w:lang w:val="en-US" w:eastAsia="hu-HU"/>
        </w:rPr>
      </w:pPr>
    </w:p>
    <w:p w14:paraId="03E9A1FB" w14:textId="6EF432C5" w:rsidR="005B17A1" w:rsidRDefault="005B17A1" w:rsidP="00D87B3A">
      <w:pPr>
        <w:tabs>
          <w:tab w:val="left" w:pos="851"/>
        </w:tabs>
        <w:jc w:val="both"/>
        <w:rPr>
          <w:rFonts w:asciiTheme="minorHAnsi" w:eastAsia="Times New Roman" w:hAnsiTheme="minorHAnsi" w:cstheme="minorHAnsi"/>
          <w:sz w:val="24"/>
          <w:szCs w:val="24"/>
          <w:lang w:val="en-US" w:eastAsia="hu-HU"/>
        </w:rPr>
      </w:pPr>
      <w:r>
        <w:rPr>
          <w:rFonts w:asciiTheme="minorHAnsi" w:eastAsia="Times New Roman" w:hAnsiTheme="minorHAnsi" w:cstheme="minorHAnsi"/>
          <w:sz w:val="24"/>
          <w:szCs w:val="24"/>
          <w:lang w:val="en-US" w:eastAsia="hu-HU"/>
        </w:rPr>
        <w:t xml:space="preserve">Third, even </w:t>
      </w:r>
      <w:r w:rsidR="003A5C22">
        <w:rPr>
          <w:rFonts w:asciiTheme="minorHAnsi" w:eastAsia="Times New Roman" w:hAnsiTheme="minorHAnsi" w:cstheme="minorHAnsi"/>
          <w:sz w:val="24"/>
          <w:szCs w:val="24"/>
          <w:lang w:val="en-US" w:eastAsia="hu-HU"/>
        </w:rPr>
        <w:t xml:space="preserve">where the </w:t>
      </w:r>
      <w:r>
        <w:rPr>
          <w:rFonts w:asciiTheme="minorHAnsi" w:eastAsia="Times New Roman" w:hAnsiTheme="minorHAnsi" w:cstheme="minorHAnsi"/>
          <w:sz w:val="24"/>
          <w:szCs w:val="24"/>
          <w:lang w:val="en-US" w:eastAsia="hu-HU"/>
        </w:rPr>
        <w:t xml:space="preserve">complaint and redress mechanism </w:t>
      </w:r>
      <w:r w:rsidR="003A5C22">
        <w:rPr>
          <w:rFonts w:asciiTheme="minorHAnsi" w:eastAsia="Times New Roman" w:hAnsiTheme="minorHAnsi" w:cstheme="minorHAnsi"/>
          <w:sz w:val="24"/>
          <w:szCs w:val="24"/>
          <w:lang w:val="en-US" w:eastAsia="hu-HU"/>
        </w:rPr>
        <w:t xml:space="preserve">would be </w:t>
      </w:r>
      <w:r>
        <w:rPr>
          <w:rFonts w:asciiTheme="minorHAnsi" w:eastAsia="Times New Roman" w:hAnsiTheme="minorHAnsi" w:cstheme="minorHAnsi"/>
          <w:sz w:val="24"/>
          <w:szCs w:val="24"/>
          <w:lang w:val="en-US" w:eastAsia="hu-HU"/>
        </w:rPr>
        <w:t xml:space="preserve">needed in certain cases, it </w:t>
      </w:r>
      <w:r w:rsidR="003A5C22">
        <w:rPr>
          <w:rFonts w:asciiTheme="minorHAnsi" w:eastAsia="Times New Roman" w:hAnsiTheme="minorHAnsi" w:cstheme="minorHAnsi"/>
          <w:sz w:val="24"/>
          <w:szCs w:val="24"/>
          <w:lang w:val="en-US" w:eastAsia="hu-HU"/>
        </w:rPr>
        <w:t xml:space="preserve">would </w:t>
      </w:r>
      <w:r>
        <w:rPr>
          <w:rFonts w:asciiTheme="minorHAnsi" w:eastAsia="Times New Roman" w:hAnsiTheme="minorHAnsi" w:cstheme="minorHAnsi"/>
          <w:sz w:val="24"/>
          <w:szCs w:val="24"/>
          <w:lang w:val="en-US" w:eastAsia="hu-HU"/>
        </w:rPr>
        <w:t xml:space="preserve">be possible to apply </w:t>
      </w:r>
      <w:r w:rsidR="0078581D">
        <w:rPr>
          <w:rFonts w:asciiTheme="minorHAnsi" w:eastAsia="Times New Roman" w:hAnsiTheme="minorHAnsi" w:cstheme="minorHAnsi"/>
          <w:sz w:val="24"/>
          <w:szCs w:val="24"/>
          <w:lang w:val="en-US" w:eastAsia="hu-HU"/>
        </w:rPr>
        <w:t xml:space="preserve">appropriate </w:t>
      </w:r>
      <w:r>
        <w:rPr>
          <w:rFonts w:asciiTheme="minorHAnsi" w:eastAsia="Times New Roman" w:hAnsiTheme="minorHAnsi" w:cstheme="minorHAnsi"/>
          <w:sz w:val="24"/>
          <w:szCs w:val="24"/>
          <w:lang w:val="en-US" w:eastAsia="hu-HU"/>
        </w:rPr>
        <w:t xml:space="preserve">rules on the basis of which </w:t>
      </w:r>
      <w:r w:rsidR="003A5C22">
        <w:rPr>
          <w:rFonts w:asciiTheme="minorHAnsi" w:eastAsia="Times New Roman" w:hAnsiTheme="minorHAnsi" w:cstheme="minorHAnsi"/>
          <w:sz w:val="24"/>
          <w:szCs w:val="24"/>
          <w:lang w:val="en-US" w:eastAsia="hu-HU"/>
        </w:rPr>
        <w:t xml:space="preserve">the mechanism </w:t>
      </w:r>
      <w:r>
        <w:rPr>
          <w:rFonts w:asciiTheme="minorHAnsi" w:eastAsia="Times New Roman" w:hAnsiTheme="minorHAnsi" w:cstheme="minorHAnsi"/>
          <w:sz w:val="24"/>
          <w:szCs w:val="24"/>
          <w:lang w:val="en-US" w:eastAsia="hu-HU"/>
        </w:rPr>
        <w:t>could be made truly expeditious and the disputed uploads</w:t>
      </w:r>
      <w:r w:rsidR="006C3F4C">
        <w:rPr>
          <w:rFonts w:asciiTheme="minorHAnsi" w:eastAsia="Times New Roman" w:hAnsiTheme="minorHAnsi" w:cstheme="minorHAnsi"/>
          <w:sz w:val="24"/>
          <w:szCs w:val="24"/>
          <w:lang w:val="en-US" w:eastAsia="hu-HU"/>
        </w:rPr>
        <w:t>,</w:t>
      </w:r>
      <w:r>
        <w:rPr>
          <w:rFonts w:asciiTheme="minorHAnsi" w:eastAsia="Times New Roman" w:hAnsiTheme="minorHAnsi" w:cstheme="minorHAnsi"/>
          <w:sz w:val="24"/>
          <w:szCs w:val="24"/>
          <w:lang w:val="en-US" w:eastAsia="hu-HU"/>
        </w:rPr>
        <w:t xml:space="preserve"> where it is justified</w:t>
      </w:r>
      <w:r w:rsidR="006C3F4C">
        <w:rPr>
          <w:rFonts w:asciiTheme="minorHAnsi" w:eastAsia="Times New Roman" w:hAnsiTheme="minorHAnsi" w:cstheme="minorHAnsi"/>
          <w:sz w:val="24"/>
          <w:szCs w:val="24"/>
          <w:lang w:val="en-US" w:eastAsia="hu-HU"/>
        </w:rPr>
        <w:t>,</w:t>
      </w:r>
      <w:r>
        <w:rPr>
          <w:rFonts w:asciiTheme="minorHAnsi" w:eastAsia="Times New Roman" w:hAnsiTheme="minorHAnsi" w:cstheme="minorHAnsi"/>
          <w:sz w:val="24"/>
          <w:szCs w:val="24"/>
          <w:lang w:val="en-US" w:eastAsia="hu-HU"/>
        </w:rPr>
        <w:t xml:space="preserve"> be </w:t>
      </w:r>
      <w:r w:rsidR="003A5C22">
        <w:rPr>
          <w:rFonts w:asciiTheme="minorHAnsi" w:eastAsia="Times New Roman" w:hAnsiTheme="minorHAnsi" w:cstheme="minorHAnsi"/>
          <w:sz w:val="24"/>
          <w:szCs w:val="24"/>
          <w:lang w:val="en-US" w:eastAsia="hu-HU"/>
        </w:rPr>
        <w:t xml:space="preserve">de-blocked </w:t>
      </w:r>
      <w:r>
        <w:rPr>
          <w:rFonts w:asciiTheme="minorHAnsi" w:eastAsia="Times New Roman" w:hAnsiTheme="minorHAnsi" w:cstheme="minorHAnsi"/>
          <w:sz w:val="24"/>
          <w:szCs w:val="24"/>
          <w:lang w:val="en-US" w:eastAsia="hu-HU"/>
        </w:rPr>
        <w:t xml:space="preserve">very quickly without any unreasonable prejudice to the freedom of expression and to the legitimate interests of </w:t>
      </w:r>
      <w:r w:rsidR="006C3F4C">
        <w:rPr>
          <w:rFonts w:asciiTheme="minorHAnsi" w:eastAsia="Times New Roman" w:hAnsiTheme="minorHAnsi" w:cstheme="minorHAnsi"/>
          <w:sz w:val="24"/>
          <w:szCs w:val="24"/>
          <w:lang w:val="en-US" w:eastAsia="hu-HU"/>
        </w:rPr>
        <w:t>users</w:t>
      </w:r>
      <w:r w:rsidR="0078581D">
        <w:rPr>
          <w:rFonts w:asciiTheme="minorHAnsi" w:eastAsia="Times New Roman" w:hAnsiTheme="minorHAnsi" w:cstheme="minorHAnsi"/>
          <w:sz w:val="24"/>
          <w:szCs w:val="24"/>
          <w:lang w:val="en-US" w:eastAsia="hu-HU"/>
        </w:rPr>
        <w:t xml:space="preserve">. </w:t>
      </w:r>
      <w:r w:rsidR="003A5C22">
        <w:rPr>
          <w:rFonts w:asciiTheme="minorHAnsi" w:eastAsia="Times New Roman" w:hAnsiTheme="minorHAnsi" w:cstheme="minorHAnsi"/>
          <w:sz w:val="24"/>
          <w:szCs w:val="24"/>
          <w:lang w:val="en-US" w:eastAsia="hu-HU"/>
        </w:rPr>
        <w:t xml:space="preserve">  </w:t>
      </w:r>
    </w:p>
    <w:p w14:paraId="34F7DDFF" w14:textId="77777777" w:rsidR="005B17A1" w:rsidRDefault="005B17A1" w:rsidP="00D87B3A">
      <w:pPr>
        <w:tabs>
          <w:tab w:val="left" w:pos="851"/>
        </w:tabs>
        <w:jc w:val="both"/>
        <w:rPr>
          <w:rFonts w:asciiTheme="minorHAnsi" w:eastAsia="Times New Roman" w:hAnsiTheme="minorHAnsi" w:cstheme="minorHAnsi"/>
          <w:sz w:val="24"/>
          <w:szCs w:val="24"/>
          <w:lang w:val="en-US" w:eastAsia="hu-HU"/>
        </w:rPr>
      </w:pPr>
    </w:p>
    <w:p w14:paraId="240C41E0" w14:textId="533FF057" w:rsidR="004C4D49" w:rsidRDefault="005B17A1" w:rsidP="005F369D">
      <w:pPr>
        <w:tabs>
          <w:tab w:val="left" w:pos="851"/>
        </w:tabs>
        <w:jc w:val="center"/>
        <w:rPr>
          <w:rFonts w:asciiTheme="minorHAnsi" w:eastAsia="Times New Roman" w:hAnsiTheme="minorHAnsi" w:cstheme="minorHAnsi"/>
          <w:b/>
          <w:sz w:val="24"/>
          <w:szCs w:val="24"/>
          <w:lang w:val="en-US" w:eastAsia="hu-HU"/>
        </w:rPr>
      </w:pPr>
      <w:r w:rsidRPr="00DA6433">
        <w:rPr>
          <w:rFonts w:asciiTheme="minorHAnsi" w:eastAsia="Times New Roman" w:hAnsiTheme="minorHAnsi" w:cstheme="minorHAnsi"/>
          <w:b/>
          <w:sz w:val="24"/>
          <w:szCs w:val="24"/>
          <w:lang w:val="en-US" w:eastAsia="hu-HU"/>
        </w:rPr>
        <w:t>V.</w:t>
      </w:r>
      <w:r>
        <w:rPr>
          <w:rFonts w:asciiTheme="minorHAnsi" w:eastAsia="Times New Roman" w:hAnsiTheme="minorHAnsi" w:cstheme="minorHAnsi"/>
          <w:sz w:val="24"/>
          <w:szCs w:val="24"/>
          <w:lang w:val="en-US" w:eastAsia="hu-HU"/>
        </w:rPr>
        <w:t xml:space="preserve"> </w:t>
      </w:r>
      <w:r w:rsidR="00FB0AA0" w:rsidRPr="005F369D">
        <w:rPr>
          <w:rFonts w:asciiTheme="minorHAnsi" w:eastAsia="Times New Roman" w:hAnsiTheme="minorHAnsi" w:cstheme="minorHAnsi"/>
          <w:b/>
          <w:sz w:val="24"/>
          <w:szCs w:val="24"/>
          <w:lang w:val="en-US" w:eastAsia="hu-HU"/>
        </w:rPr>
        <w:t xml:space="preserve">Although the second subparagraph of </w:t>
      </w:r>
      <w:r w:rsidRPr="005F369D">
        <w:rPr>
          <w:rFonts w:asciiTheme="minorHAnsi" w:eastAsia="Times New Roman" w:hAnsiTheme="minorHAnsi" w:cstheme="minorHAnsi"/>
          <w:b/>
          <w:sz w:val="24"/>
          <w:szCs w:val="24"/>
          <w:lang w:val="en-US" w:eastAsia="hu-HU"/>
        </w:rPr>
        <w:t xml:space="preserve">Article </w:t>
      </w:r>
      <w:r w:rsidR="002B0180">
        <w:rPr>
          <w:rFonts w:asciiTheme="minorHAnsi" w:eastAsia="Times New Roman" w:hAnsiTheme="minorHAnsi" w:cstheme="minorHAnsi"/>
          <w:b/>
          <w:sz w:val="24"/>
          <w:szCs w:val="24"/>
          <w:lang w:val="en-US" w:eastAsia="hu-HU"/>
        </w:rPr>
        <w:t>1</w:t>
      </w:r>
      <w:r w:rsidRPr="005F369D">
        <w:rPr>
          <w:rFonts w:asciiTheme="minorHAnsi" w:eastAsia="Times New Roman" w:hAnsiTheme="minorHAnsi" w:cstheme="minorHAnsi"/>
          <w:b/>
          <w:sz w:val="24"/>
          <w:szCs w:val="24"/>
          <w:lang w:val="en-US" w:eastAsia="hu-HU"/>
        </w:rPr>
        <w:t>7(</w:t>
      </w:r>
      <w:r w:rsidR="00FB0AA0" w:rsidRPr="005F369D">
        <w:rPr>
          <w:rFonts w:asciiTheme="minorHAnsi" w:eastAsia="Times New Roman" w:hAnsiTheme="minorHAnsi" w:cstheme="minorHAnsi"/>
          <w:b/>
          <w:sz w:val="24"/>
          <w:szCs w:val="24"/>
          <w:lang w:val="en-US" w:eastAsia="hu-HU"/>
        </w:rPr>
        <w:t xml:space="preserve">7) </w:t>
      </w:r>
      <w:r w:rsidR="005F369D">
        <w:rPr>
          <w:rFonts w:asciiTheme="minorHAnsi" w:eastAsia="Times New Roman" w:hAnsiTheme="minorHAnsi" w:cstheme="minorHAnsi"/>
          <w:b/>
          <w:sz w:val="24"/>
          <w:szCs w:val="24"/>
          <w:lang w:val="en-US" w:eastAsia="hu-HU"/>
        </w:rPr>
        <w:t xml:space="preserve">of </w:t>
      </w:r>
      <w:r w:rsidR="00FB0AA0" w:rsidRPr="005F369D">
        <w:rPr>
          <w:rFonts w:asciiTheme="minorHAnsi" w:eastAsia="Times New Roman" w:hAnsiTheme="minorHAnsi" w:cstheme="minorHAnsi"/>
          <w:b/>
          <w:sz w:val="24"/>
          <w:szCs w:val="24"/>
          <w:lang w:val="en-US" w:eastAsia="hu-HU"/>
        </w:rPr>
        <w:t xml:space="preserve">the DSM Directive makes the application of certain exceptions mandatory, it does not introduce </w:t>
      </w:r>
      <w:r w:rsidR="0031701A">
        <w:rPr>
          <w:rFonts w:asciiTheme="minorHAnsi" w:eastAsia="Times New Roman" w:hAnsiTheme="minorHAnsi" w:cstheme="minorHAnsi"/>
          <w:b/>
          <w:sz w:val="24"/>
          <w:szCs w:val="24"/>
          <w:lang w:val="en-US" w:eastAsia="hu-HU"/>
        </w:rPr>
        <w:t xml:space="preserve">a new category of </w:t>
      </w:r>
      <w:r w:rsidR="00FB0AA0" w:rsidRPr="005F369D">
        <w:rPr>
          <w:rFonts w:asciiTheme="minorHAnsi" w:eastAsia="Times New Roman" w:hAnsiTheme="minorHAnsi" w:cstheme="minorHAnsi"/>
          <w:b/>
          <w:sz w:val="24"/>
          <w:szCs w:val="24"/>
          <w:lang w:val="en-US" w:eastAsia="hu-HU"/>
        </w:rPr>
        <w:t xml:space="preserve">“users’ rights” to be applied </w:t>
      </w:r>
      <w:r w:rsidR="006A329D">
        <w:rPr>
          <w:rFonts w:asciiTheme="minorHAnsi" w:eastAsia="Times New Roman" w:hAnsiTheme="minorHAnsi" w:cstheme="minorHAnsi"/>
          <w:b/>
          <w:sz w:val="24"/>
          <w:szCs w:val="24"/>
          <w:lang w:val="en-US" w:eastAsia="hu-HU"/>
        </w:rPr>
        <w:t>“</w:t>
      </w:r>
      <w:r w:rsidR="00FB0AA0" w:rsidRPr="005F369D">
        <w:rPr>
          <w:rFonts w:asciiTheme="minorHAnsi" w:eastAsia="Times New Roman" w:hAnsiTheme="minorHAnsi" w:cstheme="minorHAnsi"/>
          <w:b/>
          <w:sz w:val="24"/>
          <w:szCs w:val="24"/>
          <w:lang w:val="en-US" w:eastAsia="hu-HU"/>
        </w:rPr>
        <w:t>broadly</w:t>
      </w:r>
      <w:r w:rsidR="006A329D">
        <w:rPr>
          <w:rFonts w:asciiTheme="minorHAnsi" w:eastAsia="Times New Roman" w:hAnsiTheme="minorHAnsi" w:cstheme="minorHAnsi"/>
          <w:b/>
          <w:sz w:val="24"/>
          <w:szCs w:val="24"/>
          <w:lang w:val="en-US" w:eastAsia="hu-HU"/>
        </w:rPr>
        <w:t>”</w:t>
      </w:r>
      <w:r w:rsidR="00FB0AA0" w:rsidRPr="005F369D">
        <w:rPr>
          <w:rFonts w:asciiTheme="minorHAnsi" w:eastAsia="Times New Roman" w:hAnsiTheme="minorHAnsi" w:cstheme="minorHAnsi"/>
          <w:b/>
          <w:sz w:val="24"/>
          <w:szCs w:val="24"/>
          <w:lang w:val="en-US" w:eastAsia="hu-HU"/>
        </w:rPr>
        <w:t>; those exceptions</w:t>
      </w:r>
      <w:r w:rsidR="0031701A">
        <w:rPr>
          <w:rFonts w:asciiTheme="minorHAnsi" w:eastAsia="Times New Roman" w:hAnsiTheme="minorHAnsi" w:cstheme="minorHAnsi"/>
          <w:b/>
          <w:sz w:val="24"/>
          <w:szCs w:val="24"/>
          <w:lang w:val="en-US" w:eastAsia="hu-HU"/>
        </w:rPr>
        <w:t>,</w:t>
      </w:r>
      <w:r w:rsidR="00FB0AA0" w:rsidRPr="005F369D">
        <w:rPr>
          <w:rFonts w:asciiTheme="minorHAnsi" w:eastAsia="Times New Roman" w:hAnsiTheme="minorHAnsi" w:cstheme="minorHAnsi"/>
          <w:b/>
          <w:sz w:val="24"/>
          <w:szCs w:val="24"/>
          <w:lang w:val="en-US" w:eastAsia="hu-HU"/>
        </w:rPr>
        <w:t xml:space="preserve"> </w:t>
      </w:r>
      <w:r w:rsidR="006A329D">
        <w:rPr>
          <w:rFonts w:asciiTheme="minorHAnsi" w:eastAsia="Times New Roman" w:hAnsiTheme="minorHAnsi" w:cstheme="minorHAnsi"/>
          <w:b/>
          <w:sz w:val="24"/>
          <w:szCs w:val="24"/>
          <w:lang w:val="en-US" w:eastAsia="hu-HU"/>
        </w:rPr>
        <w:t>as</w:t>
      </w:r>
      <w:r w:rsidR="0031701A">
        <w:rPr>
          <w:rFonts w:asciiTheme="minorHAnsi" w:eastAsia="Times New Roman" w:hAnsiTheme="minorHAnsi" w:cstheme="minorHAnsi"/>
          <w:b/>
          <w:sz w:val="24"/>
          <w:szCs w:val="24"/>
          <w:lang w:val="en-US" w:eastAsia="hu-HU"/>
        </w:rPr>
        <w:t xml:space="preserve"> any others, </w:t>
      </w:r>
      <w:r w:rsidR="006A329D">
        <w:rPr>
          <w:rFonts w:asciiTheme="minorHAnsi" w:eastAsia="Times New Roman" w:hAnsiTheme="minorHAnsi" w:cstheme="minorHAnsi"/>
          <w:b/>
          <w:sz w:val="24"/>
          <w:szCs w:val="24"/>
          <w:lang w:val="en-US" w:eastAsia="hu-HU"/>
        </w:rPr>
        <w:t xml:space="preserve">are to be </w:t>
      </w:r>
      <w:r w:rsidR="00FB0AA0" w:rsidRPr="005F369D">
        <w:rPr>
          <w:rFonts w:asciiTheme="minorHAnsi" w:eastAsia="Times New Roman" w:hAnsiTheme="minorHAnsi" w:cstheme="minorHAnsi"/>
          <w:b/>
          <w:sz w:val="24"/>
          <w:szCs w:val="24"/>
          <w:lang w:val="en-US" w:eastAsia="hu-HU"/>
        </w:rPr>
        <w:t xml:space="preserve">applied </w:t>
      </w:r>
      <w:r w:rsidR="006A329D">
        <w:rPr>
          <w:rFonts w:asciiTheme="minorHAnsi" w:eastAsia="Times New Roman" w:hAnsiTheme="minorHAnsi" w:cstheme="minorHAnsi"/>
          <w:b/>
          <w:sz w:val="24"/>
          <w:szCs w:val="24"/>
          <w:lang w:val="en-US" w:eastAsia="hu-HU"/>
        </w:rPr>
        <w:t xml:space="preserve">in a balanced way </w:t>
      </w:r>
      <w:r w:rsidR="00D12061">
        <w:rPr>
          <w:rFonts w:asciiTheme="minorHAnsi" w:eastAsia="Times New Roman" w:hAnsiTheme="minorHAnsi" w:cstheme="minorHAnsi"/>
          <w:b/>
          <w:sz w:val="24"/>
          <w:szCs w:val="24"/>
          <w:lang w:val="en-US" w:eastAsia="hu-HU"/>
        </w:rPr>
        <w:t xml:space="preserve">neither broadly nor narrowly </w:t>
      </w:r>
      <w:r w:rsidR="006A329D">
        <w:rPr>
          <w:rFonts w:asciiTheme="minorHAnsi" w:eastAsia="Times New Roman" w:hAnsiTheme="minorHAnsi" w:cstheme="minorHAnsi"/>
          <w:b/>
          <w:sz w:val="24"/>
          <w:szCs w:val="24"/>
          <w:lang w:val="en-US" w:eastAsia="hu-HU"/>
        </w:rPr>
        <w:t>as required by the</w:t>
      </w:r>
      <w:r w:rsidR="0031701A">
        <w:rPr>
          <w:rFonts w:asciiTheme="minorHAnsi" w:eastAsia="Times New Roman" w:hAnsiTheme="minorHAnsi" w:cstheme="minorHAnsi"/>
          <w:b/>
          <w:sz w:val="24"/>
          <w:szCs w:val="24"/>
          <w:lang w:val="en-US" w:eastAsia="hu-HU"/>
        </w:rPr>
        <w:t xml:space="preserve"> </w:t>
      </w:r>
      <w:r w:rsidR="00FB0AA0" w:rsidRPr="005F369D">
        <w:rPr>
          <w:rFonts w:asciiTheme="minorHAnsi" w:eastAsia="Times New Roman" w:hAnsiTheme="minorHAnsi" w:cstheme="minorHAnsi"/>
          <w:b/>
          <w:sz w:val="24"/>
          <w:szCs w:val="24"/>
          <w:lang w:val="en-US" w:eastAsia="hu-HU"/>
        </w:rPr>
        <w:t>three-step test</w:t>
      </w:r>
    </w:p>
    <w:p w14:paraId="0547F7BC" w14:textId="77777777" w:rsidR="00430BA2" w:rsidRDefault="00430BA2" w:rsidP="005F369D">
      <w:pPr>
        <w:tabs>
          <w:tab w:val="left" w:pos="851"/>
        </w:tabs>
        <w:jc w:val="center"/>
        <w:rPr>
          <w:rFonts w:asciiTheme="minorHAnsi" w:eastAsia="Times New Roman" w:hAnsiTheme="minorHAnsi" w:cstheme="minorHAnsi"/>
          <w:b/>
          <w:sz w:val="24"/>
          <w:szCs w:val="24"/>
          <w:lang w:val="en-US" w:eastAsia="hu-HU"/>
        </w:rPr>
      </w:pPr>
    </w:p>
    <w:p w14:paraId="34F7941B" w14:textId="56F425A7" w:rsidR="00430BA2" w:rsidRPr="003A5C22" w:rsidRDefault="00430BA2" w:rsidP="003A5C22">
      <w:pPr>
        <w:pStyle w:val="Alcm"/>
        <w:jc w:val="both"/>
        <w:rPr>
          <w:rFonts w:asciiTheme="minorHAnsi" w:hAnsiTheme="minorHAnsi" w:cstheme="minorHAnsi"/>
        </w:rPr>
      </w:pPr>
      <w:r w:rsidRPr="003A5C22">
        <w:rPr>
          <w:rFonts w:asciiTheme="minorHAnsi" w:hAnsiTheme="minorHAnsi" w:cstheme="minorHAnsi"/>
        </w:rPr>
        <w:t xml:space="preserve">The second subparagraph of Article </w:t>
      </w:r>
      <w:r w:rsidR="002B0180" w:rsidRPr="003A5C22">
        <w:rPr>
          <w:rFonts w:asciiTheme="minorHAnsi" w:hAnsiTheme="minorHAnsi" w:cstheme="minorHAnsi"/>
        </w:rPr>
        <w:t>1</w:t>
      </w:r>
      <w:r w:rsidRPr="003A5C22">
        <w:rPr>
          <w:rFonts w:asciiTheme="minorHAnsi" w:hAnsiTheme="minorHAnsi" w:cstheme="minorHAnsi"/>
        </w:rPr>
        <w:t>7(7) provides in this way:</w:t>
      </w:r>
    </w:p>
    <w:p w14:paraId="18F99B1D" w14:textId="77777777" w:rsidR="00481A6C" w:rsidRPr="003A5C22" w:rsidRDefault="00481A6C" w:rsidP="003A5C22">
      <w:pPr>
        <w:pStyle w:val="Alcm"/>
        <w:jc w:val="both"/>
        <w:rPr>
          <w:rFonts w:asciiTheme="minorHAnsi" w:hAnsiTheme="minorHAnsi" w:cstheme="minorHAnsi"/>
          <w:w w:val="105"/>
        </w:rPr>
      </w:pPr>
    </w:p>
    <w:p w14:paraId="3AC07011" w14:textId="77777777" w:rsidR="00481A6C" w:rsidRPr="003A5C22" w:rsidRDefault="00481A6C" w:rsidP="003A5C22">
      <w:pPr>
        <w:pStyle w:val="Alcm"/>
        <w:ind w:left="567"/>
        <w:jc w:val="both"/>
        <w:rPr>
          <w:rFonts w:asciiTheme="minorHAnsi" w:hAnsiTheme="minorHAnsi" w:cstheme="minorHAnsi"/>
        </w:rPr>
      </w:pPr>
      <w:r w:rsidRPr="003A5C22">
        <w:rPr>
          <w:rFonts w:asciiTheme="minorHAnsi" w:hAnsiTheme="minorHAnsi" w:cstheme="minorHAnsi"/>
        </w:rPr>
        <w:t>Member States shall ensure that users in each Member State are able to rely on any of the following existing exceptions or limitations when uploading and making available content generated by users on online content-sharing</w:t>
      </w:r>
      <w:r w:rsidRPr="003A5C22">
        <w:rPr>
          <w:rFonts w:asciiTheme="minorHAnsi" w:hAnsiTheme="minorHAnsi" w:cstheme="minorHAnsi"/>
          <w:w w:val="105"/>
        </w:rPr>
        <w:t xml:space="preserve"> services:</w:t>
      </w:r>
    </w:p>
    <w:p w14:paraId="7B947481" w14:textId="77777777" w:rsidR="00481A6C" w:rsidRPr="003A5C22" w:rsidRDefault="00481A6C" w:rsidP="003A5C22">
      <w:pPr>
        <w:pStyle w:val="Alcm"/>
        <w:ind w:left="567"/>
        <w:jc w:val="both"/>
        <w:rPr>
          <w:rFonts w:asciiTheme="minorHAnsi" w:hAnsiTheme="minorHAnsi" w:cstheme="minorHAnsi"/>
        </w:rPr>
      </w:pPr>
      <w:r w:rsidRPr="003A5C22">
        <w:rPr>
          <w:rFonts w:asciiTheme="minorHAnsi" w:hAnsiTheme="minorHAnsi" w:cstheme="minorHAnsi"/>
        </w:rPr>
        <w:t>(a) quotation, criticism, review;</w:t>
      </w:r>
    </w:p>
    <w:p w14:paraId="6C6937E8" w14:textId="77777777" w:rsidR="00481A6C" w:rsidRPr="003A5C22" w:rsidRDefault="00481A6C" w:rsidP="003A5C22">
      <w:pPr>
        <w:pStyle w:val="Alcm"/>
        <w:ind w:left="567"/>
        <w:jc w:val="both"/>
        <w:rPr>
          <w:rFonts w:asciiTheme="minorHAnsi" w:hAnsiTheme="minorHAnsi" w:cstheme="minorHAnsi"/>
        </w:rPr>
      </w:pPr>
      <w:r w:rsidRPr="003A5C22">
        <w:rPr>
          <w:rFonts w:asciiTheme="minorHAnsi" w:hAnsiTheme="minorHAnsi" w:cstheme="minorHAnsi"/>
        </w:rPr>
        <w:t>(b) use for the purpose of caricature, parody or pastiche.</w:t>
      </w:r>
    </w:p>
    <w:p w14:paraId="1B92BB5D" w14:textId="77777777" w:rsidR="00481A6C" w:rsidRPr="00D86246" w:rsidRDefault="00481A6C" w:rsidP="00481A6C">
      <w:pPr>
        <w:tabs>
          <w:tab w:val="left" w:pos="426"/>
        </w:tabs>
        <w:autoSpaceDE w:val="0"/>
        <w:autoSpaceDN w:val="0"/>
        <w:ind w:left="567"/>
        <w:jc w:val="both"/>
        <w:rPr>
          <w:rFonts w:asciiTheme="minorHAnsi" w:hAnsiTheme="minorHAnsi" w:cstheme="minorHAnsi"/>
          <w:w w:val="105"/>
          <w:sz w:val="24"/>
          <w:szCs w:val="24"/>
          <w:lang w:val="en-US"/>
        </w:rPr>
      </w:pPr>
    </w:p>
    <w:p w14:paraId="672AB0D4" w14:textId="18589718" w:rsidR="00D86246" w:rsidRPr="003A5C22" w:rsidRDefault="00481A6C" w:rsidP="00481A6C">
      <w:pPr>
        <w:tabs>
          <w:tab w:val="left" w:pos="284"/>
        </w:tabs>
        <w:autoSpaceDE w:val="0"/>
        <w:autoSpaceDN w:val="0"/>
        <w:jc w:val="both"/>
        <w:rPr>
          <w:rStyle w:val="AlcmChar"/>
          <w:rFonts w:asciiTheme="minorHAnsi" w:eastAsiaTheme="minorHAnsi" w:hAnsiTheme="minorHAnsi" w:cstheme="minorHAnsi"/>
        </w:rPr>
      </w:pPr>
      <w:r w:rsidRPr="003A5C22">
        <w:rPr>
          <w:rStyle w:val="AlcmChar"/>
          <w:rFonts w:asciiTheme="minorHAnsi" w:eastAsiaTheme="minorHAnsi" w:hAnsiTheme="minorHAnsi" w:cstheme="minorHAnsi"/>
        </w:rPr>
        <w:t>These exceptions</w:t>
      </w:r>
      <w:r w:rsidR="006C3F4C" w:rsidRPr="003A5C22">
        <w:rPr>
          <w:rStyle w:val="AlcmChar"/>
          <w:rFonts w:asciiTheme="minorHAnsi" w:eastAsiaTheme="minorHAnsi" w:hAnsiTheme="minorHAnsi" w:cstheme="minorHAnsi"/>
        </w:rPr>
        <w:t xml:space="preserve">, </w:t>
      </w:r>
      <w:r w:rsidRPr="003A5C22">
        <w:rPr>
          <w:rStyle w:val="AlcmChar"/>
          <w:rFonts w:asciiTheme="minorHAnsi" w:eastAsiaTheme="minorHAnsi" w:hAnsiTheme="minorHAnsi" w:cstheme="minorHAnsi"/>
        </w:rPr>
        <w:t>as it is indicated</w:t>
      </w:r>
      <w:r w:rsidR="006C3F4C" w:rsidRPr="003A5C22">
        <w:rPr>
          <w:rStyle w:val="AlcmChar"/>
          <w:rFonts w:asciiTheme="minorHAnsi" w:eastAsiaTheme="minorHAnsi" w:hAnsiTheme="minorHAnsi" w:cstheme="minorHAnsi"/>
        </w:rPr>
        <w:t>,</w:t>
      </w:r>
      <w:r w:rsidRPr="003A5C22">
        <w:rPr>
          <w:rStyle w:val="AlcmChar"/>
          <w:rFonts w:asciiTheme="minorHAnsi" w:eastAsiaTheme="minorHAnsi" w:hAnsiTheme="minorHAnsi" w:cstheme="minorHAnsi"/>
        </w:rPr>
        <w:t xml:space="preserve"> exist already in EU law, in partic</w:t>
      </w:r>
      <w:r w:rsidR="00D86246" w:rsidRPr="003A5C22">
        <w:rPr>
          <w:rStyle w:val="AlcmChar"/>
          <w:rFonts w:asciiTheme="minorHAnsi" w:eastAsiaTheme="minorHAnsi" w:hAnsiTheme="minorHAnsi" w:cstheme="minorHAnsi"/>
        </w:rPr>
        <w:t>u</w:t>
      </w:r>
      <w:r w:rsidRPr="003A5C22">
        <w:rPr>
          <w:rStyle w:val="AlcmChar"/>
          <w:rFonts w:asciiTheme="minorHAnsi" w:eastAsiaTheme="minorHAnsi" w:hAnsiTheme="minorHAnsi" w:cstheme="minorHAnsi"/>
        </w:rPr>
        <w:t>lar as provided in Article 5</w:t>
      </w:r>
      <w:r w:rsidR="00D86246" w:rsidRPr="003A5C22">
        <w:rPr>
          <w:rStyle w:val="AlcmChar"/>
          <w:rFonts w:asciiTheme="minorHAnsi" w:eastAsiaTheme="minorHAnsi" w:hAnsiTheme="minorHAnsi" w:cstheme="minorHAnsi"/>
        </w:rPr>
        <w:t xml:space="preserve"> of the Information Society Directive</w:t>
      </w:r>
      <w:r w:rsidR="006C3F4C" w:rsidRPr="003A5C22">
        <w:rPr>
          <w:rStyle w:val="AlcmChar"/>
          <w:rFonts w:asciiTheme="minorHAnsi" w:eastAsiaTheme="minorHAnsi" w:hAnsiTheme="minorHAnsi" w:cstheme="minorHAnsi"/>
        </w:rPr>
        <w:t xml:space="preserve"> – </w:t>
      </w:r>
      <w:r w:rsidRPr="003A5C22">
        <w:rPr>
          <w:rStyle w:val="AlcmChar"/>
          <w:rFonts w:asciiTheme="minorHAnsi" w:eastAsiaTheme="minorHAnsi" w:hAnsiTheme="minorHAnsi" w:cstheme="minorHAnsi"/>
        </w:rPr>
        <w:t>including</w:t>
      </w:r>
      <w:r w:rsidR="00D86246" w:rsidRPr="003A5C22">
        <w:rPr>
          <w:rStyle w:val="AlcmChar"/>
          <w:rFonts w:asciiTheme="minorHAnsi" w:eastAsiaTheme="minorHAnsi" w:hAnsiTheme="minorHAnsi" w:cstheme="minorHAnsi"/>
        </w:rPr>
        <w:t>,</w:t>
      </w:r>
      <w:r w:rsidRPr="003A5C22">
        <w:rPr>
          <w:rStyle w:val="AlcmChar"/>
          <w:rFonts w:asciiTheme="minorHAnsi" w:eastAsiaTheme="minorHAnsi" w:hAnsiTheme="minorHAnsi" w:cstheme="minorHAnsi"/>
        </w:rPr>
        <w:t xml:space="preserve"> of course, parag</w:t>
      </w:r>
      <w:r w:rsidR="00D86246" w:rsidRPr="003A5C22">
        <w:rPr>
          <w:rStyle w:val="AlcmChar"/>
          <w:rFonts w:asciiTheme="minorHAnsi" w:eastAsiaTheme="minorHAnsi" w:hAnsiTheme="minorHAnsi" w:cstheme="minorHAnsi"/>
        </w:rPr>
        <w:t>r</w:t>
      </w:r>
      <w:r w:rsidRPr="003A5C22">
        <w:rPr>
          <w:rStyle w:val="AlcmChar"/>
          <w:rFonts w:asciiTheme="minorHAnsi" w:eastAsiaTheme="minorHAnsi" w:hAnsiTheme="minorHAnsi" w:cstheme="minorHAnsi"/>
        </w:rPr>
        <w:t>aph (5) of the Article under which all these exceptions are only</w:t>
      </w:r>
      <w:r w:rsidR="00453FF5" w:rsidRPr="003A5C22">
        <w:rPr>
          <w:rStyle w:val="AlcmChar"/>
          <w:rFonts w:asciiTheme="minorHAnsi" w:eastAsiaTheme="minorHAnsi" w:hAnsiTheme="minorHAnsi" w:cstheme="minorHAnsi"/>
        </w:rPr>
        <w:t>,</w:t>
      </w:r>
      <w:r w:rsidRPr="003A5C22">
        <w:rPr>
          <w:rStyle w:val="AlcmChar"/>
          <w:rFonts w:asciiTheme="minorHAnsi" w:eastAsiaTheme="minorHAnsi" w:hAnsiTheme="minorHAnsi" w:cstheme="minorHAnsi"/>
        </w:rPr>
        <w:t xml:space="preserve"> and to the extent</w:t>
      </w:r>
      <w:r w:rsidR="00453FF5" w:rsidRPr="003A5C22">
        <w:rPr>
          <w:rStyle w:val="AlcmChar"/>
          <w:rFonts w:asciiTheme="minorHAnsi" w:eastAsiaTheme="minorHAnsi" w:hAnsiTheme="minorHAnsi" w:cstheme="minorHAnsi"/>
        </w:rPr>
        <w:t>,</w:t>
      </w:r>
      <w:r w:rsidRPr="003A5C22">
        <w:rPr>
          <w:rStyle w:val="AlcmChar"/>
          <w:rFonts w:asciiTheme="minorHAnsi" w:eastAsiaTheme="minorHAnsi" w:hAnsiTheme="minorHAnsi" w:cstheme="minorHAnsi"/>
        </w:rPr>
        <w:t xml:space="preserve"> applicable if they fulfill the cumulative conditions of the three-step test.</w:t>
      </w:r>
      <w:r w:rsidRPr="00D86246">
        <w:rPr>
          <w:rFonts w:asciiTheme="minorHAnsi" w:hAnsiTheme="minorHAnsi" w:cstheme="minorHAnsi"/>
          <w:w w:val="105"/>
          <w:sz w:val="24"/>
          <w:szCs w:val="24"/>
          <w:lang w:val="en-US"/>
        </w:rPr>
        <w:t xml:space="preserve"> </w:t>
      </w:r>
      <w:r w:rsidRPr="003A5C22">
        <w:rPr>
          <w:rStyle w:val="AlcmChar"/>
          <w:rFonts w:asciiTheme="minorHAnsi" w:eastAsiaTheme="minorHAnsi" w:hAnsiTheme="minorHAnsi" w:cstheme="minorHAnsi"/>
        </w:rPr>
        <w:t>The only new aspect under the</w:t>
      </w:r>
      <w:r w:rsidR="00453FF5" w:rsidRPr="003A5C22">
        <w:rPr>
          <w:rStyle w:val="AlcmChar"/>
          <w:rFonts w:asciiTheme="minorHAnsi" w:eastAsiaTheme="minorHAnsi" w:hAnsiTheme="minorHAnsi" w:cstheme="minorHAnsi"/>
        </w:rPr>
        <w:t>se prov</w:t>
      </w:r>
      <w:r w:rsidR="00D86246" w:rsidRPr="003A5C22">
        <w:rPr>
          <w:rStyle w:val="AlcmChar"/>
          <w:rFonts w:asciiTheme="minorHAnsi" w:eastAsiaTheme="minorHAnsi" w:hAnsiTheme="minorHAnsi" w:cstheme="minorHAnsi"/>
        </w:rPr>
        <w:t>i</w:t>
      </w:r>
      <w:r w:rsidR="00453FF5" w:rsidRPr="003A5C22">
        <w:rPr>
          <w:rStyle w:val="AlcmChar"/>
          <w:rFonts w:asciiTheme="minorHAnsi" w:eastAsiaTheme="minorHAnsi" w:hAnsiTheme="minorHAnsi" w:cstheme="minorHAnsi"/>
        </w:rPr>
        <w:t xml:space="preserve">sions of the DSM Directive is that, while these exceptions are optional under the Information Society Directive, in respect of uploading and making available content generated by users, it has been made mandatory. </w:t>
      </w:r>
    </w:p>
    <w:p w14:paraId="6BCEB13F" w14:textId="77777777" w:rsidR="006C3F4C" w:rsidRDefault="006C3F4C" w:rsidP="00481A6C">
      <w:pPr>
        <w:tabs>
          <w:tab w:val="left" w:pos="284"/>
        </w:tabs>
        <w:autoSpaceDE w:val="0"/>
        <w:autoSpaceDN w:val="0"/>
        <w:jc w:val="both"/>
        <w:rPr>
          <w:rFonts w:asciiTheme="minorHAnsi" w:hAnsiTheme="minorHAnsi" w:cstheme="minorHAnsi"/>
          <w:w w:val="105"/>
          <w:sz w:val="24"/>
          <w:szCs w:val="24"/>
          <w:lang w:val="en-US"/>
        </w:rPr>
      </w:pPr>
    </w:p>
    <w:p w14:paraId="73729DDE" w14:textId="77777777" w:rsidR="00D86246" w:rsidRPr="0078581D" w:rsidRDefault="00D86246" w:rsidP="0078581D">
      <w:pPr>
        <w:pStyle w:val="Alcm"/>
        <w:jc w:val="both"/>
        <w:rPr>
          <w:rFonts w:asciiTheme="minorHAnsi" w:hAnsiTheme="minorHAnsi" w:cstheme="minorHAnsi"/>
          <w:w w:val="105"/>
        </w:rPr>
      </w:pPr>
      <w:r w:rsidRPr="0078581D">
        <w:rPr>
          <w:rFonts w:asciiTheme="minorHAnsi" w:hAnsiTheme="minorHAnsi" w:cstheme="minorHAnsi"/>
          <w:w w:val="105"/>
        </w:rPr>
        <w:t>It is the first subparagraph of recital (70) which indicates the reason</w:t>
      </w:r>
      <w:r w:rsidR="00DA6433" w:rsidRPr="0078581D">
        <w:rPr>
          <w:rFonts w:asciiTheme="minorHAnsi" w:hAnsiTheme="minorHAnsi" w:cstheme="minorHAnsi"/>
          <w:w w:val="105"/>
        </w:rPr>
        <w:t>s</w:t>
      </w:r>
      <w:r w:rsidRPr="0078581D">
        <w:rPr>
          <w:rFonts w:asciiTheme="minorHAnsi" w:hAnsiTheme="minorHAnsi" w:cstheme="minorHAnsi"/>
          <w:w w:val="105"/>
        </w:rPr>
        <w:t xml:space="preserve"> for making these exceptions mandatory:</w:t>
      </w:r>
    </w:p>
    <w:p w14:paraId="0F1F41B7" w14:textId="77777777" w:rsidR="00D86246" w:rsidRDefault="00D86246" w:rsidP="00481A6C">
      <w:pPr>
        <w:tabs>
          <w:tab w:val="left" w:pos="284"/>
        </w:tabs>
        <w:autoSpaceDE w:val="0"/>
        <w:autoSpaceDN w:val="0"/>
        <w:jc w:val="both"/>
        <w:rPr>
          <w:rFonts w:asciiTheme="minorHAnsi" w:hAnsiTheme="minorHAnsi" w:cstheme="minorHAnsi"/>
          <w:w w:val="105"/>
          <w:sz w:val="24"/>
          <w:szCs w:val="24"/>
          <w:lang w:val="en-US"/>
        </w:rPr>
      </w:pPr>
    </w:p>
    <w:p w14:paraId="3D28CAE5" w14:textId="77777777" w:rsidR="00A83FFD" w:rsidRDefault="00A83FFD" w:rsidP="00A83FFD">
      <w:pPr>
        <w:tabs>
          <w:tab w:val="left" w:pos="567"/>
        </w:tabs>
        <w:autoSpaceDE w:val="0"/>
        <w:autoSpaceDN w:val="0"/>
        <w:ind w:left="567" w:right="125"/>
        <w:jc w:val="both"/>
        <w:rPr>
          <w:rFonts w:asciiTheme="minorHAnsi" w:hAnsiTheme="minorHAnsi" w:cstheme="minorHAnsi"/>
          <w:w w:val="105"/>
          <w:sz w:val="24"/>
          <w:szCs w:val="24"/>
          <w:lang w:val="en-US"/>
        </w:rPr>
      </w:pPr>
      <w:r w:rsidRPr="003A5C22">
        <w:rPr>
          <w:rStyle w:val="AlcmChar"/>
          <w:rFonts w:asciiTheme="minorHAnsi" w:eastAsiaTheme="minorHAnsi" w:hAnsiTheme="minorHAnsi" w:cstheme="minorHAnsi"/>
        </w:rPr>
        <w:t>The steps taken by online content-sharing service providers in cooperation with rightholders should be without prejudice to the application of exceptions or limitations to copyright, including, in particular, those which guarantee the</w:t>
      </w:r>
      <w:r w:rsidRPr="00DA6433">
        <w:rPr>
          <w:rFonts w:asciiTheme="minorHAnsi" w:hAnsiTheme="minorHAnsi" w:cstheme="minorHAnsi"/>
          <w:i/>
          <w:w w:val="105"/>
          <w:sz w:val="24"/>
          <w:szCs w:val="24"/>
          <w:lang w:val="en-US"/>
        </w:rPr>
        <w:t xml:space="preserve"> </w:t>
      </w:r>
      <w:r w:rsidRPr="003A5C22">
        <w:rPr>
          <w:rStyle w:val="AlcmChar"/>
          <w:rFonts w:asciiTheme="minorHAnsi" w:eastAsiaTheme="minorHAnsi" w:hAnsiTheme="minorHAnsi" w:cstheme="minorHAnsi"/>
          <w:i/>
        </w:rPr>
        <w:t>freedom</w:t>
      </w:r>
      <w:r w:rsidRPr="003A5C22">
        <w:rPr>
          <w:rFonts w:asciiTheme="minorHAnsi" w:hAnsiTheme="minorHAnsi" w:cstheme="minorHAnsi"/>
          <w:i/>
          <w:w w:val="105"/>
          <w:sz w:val="24"/>
          <w:szCs w:val="24"/>
          <w:lang w:val="en-US"/>
        </w:rPr>
        <w:t xml:space="preserve"> </w:t>
      </w:r>
      <w:r w:rsidRPr="003A5C22">
        <w:rPr>
          <w:rStyle w:val="AlcmChar"/>
          <w:rFonts w:asciiTheme="minorHAnsi" w:eastAsiaTheme="minorHAnsi" w:hAnsiTheme="minorHAnsi" w:cstheme="minorHAnsi"/>
        </w:rPr>
        <w:t>of expression of users. Users should be allowed to upload and make available content generated by users for the specific purposes of quotation, criticism, review, caricature, parody or pastiche. That is particularly important for the purposes of striking a balance between the fundamental rights laid down in the Charter of Fundamental Rights of the European Union (‘the Charter’), in particular the freedom of expression and the freedom of the arts, and the right to property, including intellectual property. Those exceptions and limitations should, therefore, be made mandatory in order to ensure that users receive uniform protection across the Union. It is important to ensure that online content-sharing service providers operate an effective complaint and redress mechanism to support use for such specific purposes</w:t>
      </w:r>
      <w:r w:rsidRPr="0031701A">
        <w:rPr>
          <w:rFonts w:asciiTheme="minorHAnsi" w:hAnsiTheme="minorHAnsi" w:cstheme="minorHAnsi"/>
          <w:w w:val="105"/>
          <w:sz w:val="24"/>
          <w:szCs w:val="24"/>
          <w:lang w:val="en-US"/>
        </w:rPr>
        <w:t>.</w:t>
      </w:r>
      <w:r w:rsidR="00DA6433">
        <w:rPr>
          <w:rFonts w:asciiTheme="minorHAnsi" w:hAnsiTheme="minorHAnsi" w:cstheme="minorHAnsi"/>
          <w:w w:val="105"/>
          <w:sz w:val="24"/>
          <w:szCs w:val="24"/>
          <w:lang w:val="en-US"/>
        </w:rPr>
        <w:t xml:space="preserve"> (Emphasis added.)</w:t>
      </w:r>
    </w:p>
    <w:p w14:paraId="60FC7C9F" w14:textId="77777777" w:rsidR="00DA6433" w:rsidRDefault="00DA6433" w:rsidP="00A83FFD">
      <w:pPr>
        <w:tabs>
          <w:tab w:val="left" w:pos="567"/>
        </w:tabs>
        <w:autoSpaceDE w:val="0"/>
        <w:autoSpaceDN w:val="0"/>
        <w:ind w:left="567" w:right="125"/>
        <w:jc w:val="both"/>
        <w:rPr>
          <w:rFonts w:asciiTheme="minorHAnsi" w:hAnsiTheme="minorHAnsi" w:cstheme="minorHAnsi"/>
          <w:w w:val="105"/>
          <w:sz w:val="24"/>
          <w:szCs w:val="24"/>
          <w:lang w:val="en-US"/>
        </w:rPr>
      </w:pPr>
    </w:p>
    <w:p w14:paraId="5145B9E6" w14:textId="75DED84F" w:rsidR="00B12FE0" w:rsidRDefault="006C3F4C" w:rsidP="006A329D">
      <w:pPr>
        <w:tabs>
          <w:tab w:val="left" w:pos="709"/>
        </w:tabs>
        <w:autoSpaceDE w:val="0"/>
        <w:autoSpaceDN w:val="0"/>
        <w:ind w:right="125"/>
        <w:jc w:val="both"/>
        <w:rPr>
          <w:rFonts w:asciiTheme="minorHAnsi" w:hAnsiTheme="minorHAnsi" w:cstheme="minorHAnsi"/>
          <w:sz w:val="24"/>
          <w:szCs w:val="24"/>
          <w:lang w:val="en-US"/>
        </w:rPr>
      </w:pPr>
      <w:r>
        <w:rPr>
          <w:rFonts w:asciiTheme="minorHAnsi" w:hAnsiTheme="minorHAnsi" w:cstheme="minorHAnsi"/>
          <w:sz w:val="24"/>
          <w:szCs w:val="24"/>
          <w:lang w:val="en-US"/>
        </w:rPr>
        <w:t xml:space="preserve">On the basis of the </w:t>
      </w:r>
      <w:r w:rsidR="00337820">
        <w:rPr>
          <w:rFonts w:asciiTheme="minorHAnsi" w:hAnsiTheme="minorHAnsi" w:cstheme="minorHAnsi"/>
          <w:sz w:val="24"/>
          <w:szCs w:val="24"/>
          <w:lang w:val="en-US"/>
        </w:rPr>
        <w:t>text o</w:t>
      </w:r>
      <w:r w:rsidR="00DA6433">
        <w:rPr>
          <w:rFonts w:asciiTheme="minorHAnsi" w:hAnsiTheme="minorHAnsi" w:cstheme="minorHAnsi"/>
          <w:sz w:val="24"/>
          <w:szCs w:val="24"/>
          <w:lang w:val="en-US"/>
        </w:rPr>
        <w:t xml:space="preserve">f the second sentence of Article </w:t>
      </w:r>
      <w:r w:rsidR="002B0180">
        <w:rPr>
          <w:rFonts w:asciiTheme="minorHAnsi" w:hAnsiTheme="minorHAnsi" w:cstheme="minorHAnsi"/>
          <w:sz w:val="24"/>
          <w:szCs w:val="24"/>
          <w:lang w:val="en-US"/>
        </w:rPr>
        <w:t>1</w:t>
      </w:r>
      <w:r w:rsidR="00DA6433">
        <w:rPr>
          <w:rFonts w:asciiTheme="minorHAnsi" w:hAnsiTheme="minorHAnsi" w:cstheme="minorHAnsi"/>
          <w:sz w:val="24"/>
          <w:szCs w:val="24"/>
          <w:lang w:val="en-US"/>
        </w:rPr>
        <w:t xml:space="preserve">7(7) read together with </w:t>
      </w:r>
      <w:r w:rsidR="0096052C">
        <w:rPr>
          <w:rFonts w:asciiTheme="minorHAnsi" w:hAnsiTheme="minorHAnsi" w:cstheme="minorHAnsi"/>
          <w:sz w:val="24"/>
          <w:szCs w:val="24"/>
          <w:lang w:val="en-US"/>
        </w:rPr>
        <w:t xml:space="preserve">Article </w:t>
      </w:r>
      <w:r w:rsidR="002B0180">
        <w:rPr>
          <w:rFonts w:asciiTheme="minorHAnsi" w:hAnsiTheme="minorHAnsi" w:cstheme="minorHAnsi"/>
          <w:sz w:val="24"/>
          <w:szCs w:val="24"/>
          <w:lang w:val="en-US"/>
        </w:rPr>
        <w:t>1</w:t>
      </w:r>
      <w:r w:rsidR="0096052C">
        <w:rPr>
          <w:rFonts w:asciiTheme="minorHAnsi" w:hAnsiTheme="minorHAnsi" w:cstheme="minorHAnsi"/>
          <w:sz w:val="24"/>
          <w:szCs w:val="24"/>
          <w:lang w:val="en-US"/>
        </w:rPr>
        <w:t>7(9) and recital (70)</w:t>
      </w:r>
      <w:r>
        <w:rPr>
          <w:rFonts w:asciiTheme="minorHAnsi" w:hAnsiTheme="minorHAnsi" w:cstheme="minorHAnsi"/>
          <w:sz w:val="24"/>
          <w:szCs w:val="24"/>
          <w:lang w:val="en-US"/>
        </w:rPr>
        <w:t>, it can be seen that</w:t>
      </w:r>
      <w:r w:rsidR="00647F0A">
        <w:rPr>
          <w:rFonts w:asciiTheme="minorHAnsi" w:hAnsiTheme="minorHAnsi" w:cstheme="minorHAnsi"/>
          <w:sz w:val="24"/>
          <w:szCs w:val="24"/>
          <w:lang w:val="en-US"/>
        </w:rPr>
        <w:t>:</w:t>
      </w:r>
    </w:p>
    <w:p w14:paraId="7AF99A19" w14:textId="77777777" w:rsidR="00B12FE0" w:rsidRDefault="0096052C" w:rsidP="006A329D">
      <w:pPr>
        <w:tabs>
          <w:tab w:val="left" w:pos="709"/>
        </w:tabs>
        <w:autoSpaceDE w:val="0"/>
        <w:autoSpaceDN w:val="0"/>
        <w:ind w:right="125"/>
        <w:jc w:val="both"/>
        <w:rPr>
          <w:rFonts w:asciiTheme="minorHAnsi" w:hAnsiTheme="minorHAnsi" w:cstheme="minorHAnsi"/>
          <w:sz w:val="24"/>
          <w:szCs w:val="24"/>
          <w:lang w:val="en-US"/>
        </w:rPr>
      </w:pPr>
      <w:r>
        <w:rPr>
          <w:rFonts w:asciiTheme="minorHAnsi" w:hAnsiTheme="minorHAnsi" w:cstheme="minorHAnsi"/>
          <w:sz w:val="24"/>
          <w:szCs w:val="24"/>
          <w:lang w:val="en-US"/>
        </w:rPr>
        <w:t xml:space="preserve"> </w:t>
      </w:r>
    </w:p>
    <w:p w14:paraId="5499A05A" w14:textId="77777777" w:rsidR="00B12FE0" w:rsidRDefault="0096052C" w:rsidP="00B12FE0">
      <w:pPr>
        <w:tabs>
          <w:tab w:val="left" w:pos="709"/>
        </w:tabs>
        <w:autoSpaceDE w:val="0"/>
        <w:autoSpaceDN w:val="0"/>
        <w:ind w:left="567" w:right="125"/>
        <w:jc w:val="both"/>
        <w:rPr>
          <w:rFonts w:asciiTheme="minorHAnsi" w:hAnsiTheme="minorHAnsi" w:cstheme="minorHAnsi"/>
          <w:sz w:val="24"/>
          <w:szCs w:val="24"/>
          <w:lang w:val="en-US"/>
        </w:rPr>
      </w:pPr>
      <w:r>
        <w:rPr>
          <w:rFonts w:asciiTheme="minorHAnsi" w:hAnsiTheme="minorHAnsi" w:cstheme="minorHAnsi"/>
          <w:sz w:val="24"/>
          <w:szCs w:val="24"/>
          <w:lang w:val="en-US"/>
        </w:rPr>
        <w:t>(i) refer</w:t>
      </w:r>
      <w:r w:rsidR="00B12FE0">
        <w:rPr>
          <w:rFonts w:asciiTheme="minorHAnsi" w:hAnsiTheme="minorHAnsi" w:cstheme="minorHAnsi"/>
          <w:sz w:val="24"/>
          <w:szCs w:val="24"/>
          <w:lang w:val="en-US"/>
        </w:rPr>
        <w:t>e</w:t>
      </w:r>
      <w:r>
        <w:rPr>
          <w:rFonts w:asciiTheme="minorHAnsi" w:hAnsiTheme="minorHAnsi" w:cstheme="minorHAnsi"/>
          <w:sz w:val="24"/>
          <w:szCs w:val="24"/>
          <w:lang w:val="en-US"/>
        </w:rPr>
        <w:t xml:space="preserve">nce </w:t>
      </w:r>
      <w:r w:rsidR="006A329D">
        <w:rPr>
          <w:rFonts w:asciiTheme="minorHAnsi" w:hAnsiTheme="minorHAnsi" w:cstheme="minorHAnsi"/>
          <w:sz w:val="24"/>
          <w:szCs w:val="24"/>
          <w:lang w:val="en-US"/>
        </w:rPr>
        <w:t xml:space="preserve">is </w:t>
      </w:r>
      <w:r>
        <w:rPr>
          <w:rFonts w:asciiTheme="minorHAnsi" w:hAnsiTheme="minorHAnsi" w:cstheme="minorHAnsi"/>
          <w:sz w:val="24"/>
          <w:szCs w:val="24"/>
          <w:lang w:val="en-US"/>
        </w:rPr>
        <w:t>made to</w:t>
      </w:r>
      <w:r w:rsidRPr="00337820">
        <w:rPr>
          <w:rFonts w:asciiTheme="minorHAnsi" w:hAnsiTheme="minorHAnsi" w:cstheme="minorHAnsi"/>
          <w:sz w:val="24"/>
          <w:szCs w:val="24"/>
          <w:lang w:val="en-US"/>
        </w:rPr>
        <w:t xml:space="preserve"> </w:t>
      </w:r>
      <w:r w:rsidRPr="006C3F4C">
        <w:rPr>
          <w:rFonts w:asciiTheme="minorHAnsi" w:hAnsiTheme="minorHAnsi" w:cstheme="minorHAnsi"/>
          <w:i/>
          <w:sz w:val="24"/>
          <w:szCs w:val="24"/>
          <w:lang w:val="en-US"/>
        </w:rPr>
        <w:t>existing</w:t>
      </w:r>
      <w:r>
        <w:rPr>
          <w:rFonts w:asciiTheme="minorHAnsi" w:hAnsiTheme="minorHAnsi" w:cstheme="minorHAnsi"/>
          <w:sz w:val="24"/>
          <w:szCs w:val="24"/>
          <w:lang w:val="en-US"/>
        </w:rPr>
        <w:t xml:space="preserve"> exceptions in the EU law</w:t>
      </w:r>
      <w:r w:rsidR="00B12FE0">
        <w:rPr>
          <w:rFonts w:asciiTheme="minorHAnsi" w:hAnsiTheme="minorHAnsi" w:cstheme="minorHAnsi"/>
          <w:sz w:val="24"/>
          <w:szCs w:val="24"/>
          <w:lang w:val="en-US"/>
        </w:rPr>
        <w:t xml:space="preserve"> (as provided </w:t>
      </w:r>
      <w:r w:rsidR="00337820">
        <w:rPr>
          <w:rFonts w:asciiTheme="minorHAnsi" w:hAnsiTheme="minorHAnsi" w:cstheme="minorHAnsi"/>
          <w:sz w:val="24"/>
          <w:szCs w:val="24"/>
          <w:lang w:val="en-US"/>
        </w:rPr>
        <w:t>in</w:t>
      </w:r>
      <w:r w:rsidR="00B12FE0">
        <w:rPr>
          <w:rFonts w:asciiTheme="minorHAnsi" w:hAnsiTheme="minorHAnsi" w:cstheme="minorHAnsi"/>
          <w:sz w:val="24"/>
          <w:szCs w:val="24"/>
          <w:lang w:val="en-US"/>
        </w:rPr>
        <w:t xml:space="preserve"> Article 5 of the Information Society Directive)</w:t>
      </w:r>
      <w:r>
        <w:rPr>
          <w:rFonts w:asciiTheme="minorHAnsi" w:hAnsiTheme="minorHAnsi" w:cstheme="minorHAnsi"/>
          <w:sz w:val="24"/>
          <w:szCs w:val="24"/>
          <w:lang w:val="en-US"/>
        </w:rPr>
        <w:t xml:space="preserve">; </w:t>
      </w:r>
    </w:p>
    <w:p w14:paraId="24A96C7F" w14:textId="77777777" w:rsidR="00B12FE0" w:rsidRDefault="0096052C" w:rsidP="00B12FE0">
      <w:pPr>
        <w:tabs>
          <w:tab w:val="left" w:pos="709"/>
        </w:tabs>
        <w:autoSpaceDE w:val="0"/>
        <w:autoSpaceDN w:val="0"/>
        <w:ind w:left="567" w:right="125"/>
        <w:jc w:val="both"/>
        <w:rPr>
          <w:rFonts w:asciiTheme="minorHAnsi" w:hAnsiTheme="minorHAnsi" w:cstheme="minorHAnsi"/>
          <w:w w:val="105"/>
          <w:sz w:val="24"/>
          <w:szCs w:val="24"/>
          <w:lang w:val="en-US"/>
        </w:rPr>
      </w:pPr>
      <w:r>
        <w:rPr>
          <w:rFonts w:asciiTheme="minorHAnsi" w:hAnsiTheme="minorHAnsi" w:cstheme="minorHAnsi"/>
          <w:sz w:val="24"/>
          <w:szCs w:val="24"/>
          <w:lang w:val="en-US"/>
        </w:rPr>
        <w:t xml:space="preserve">(ii) it is recalled that </w:t>
      </w:r>
      <w:r w:rsidR="006A329D">
        <w:rPr>
          <w:rFonts w:asciiTheme="minorHAnsi" w:hAnsiTheme="minorHAnsi" w:cstheme="minorHAnsi"/>
          <w:sz w:val="24"/>
          <w:szCs w:val="24"/>
          <w:lang w:val="en-US"/>
        </w:rPr>
        <w:t>the justification of providing exceptions in the special cases covered</w:t>
      </w:r>
      <w:r w:rsidR="00B12FE0">
        <w:rPr>
          <w:rFonts w:asciiTheme="minorHAnsi" w:hAnsiTheme="minorHAnsi" w:cstheme="minorHAnsi"/>
          <w:sz w:val="24"/>
          <w:szCs w:val="24"/>
          <w:lang w:val="en-US"/>
        </w:rPr>
        <w:t xml:space="preserve"> </w:t>
      </w:r>
      <w:r w:rsidR="006A329D">
        <w:rPr>
          <w:rFonts w:asciiTheme="minorHAnsi" w:hAnsiTheme="minorHAnsi" w:cstheme="minorHAnsi"/>
          <w:sz w:val="24"/>
          <w:szCs w:val="24"/>
          <w:lang w:val="en-US"/>
        </w:rPr>
        <w:t>by them is striking a balance between the fundamental rights laid down in the Chapter, in particular</w:t>
      </w:r>
      <w:r w:rsidR="00337820">
        <w:rPr>
          <w:rFonts w:asciiTheme="minorHAnsi" w:hAnsiTheme="minorHAnsi" w:cstheme="minorHAnsi"/>
          <w:sz w:val="24"/>
          <w:szCs w:val="24"/>
          <w:lang w:val="en-US"/>
        </w:rPr>
        <w:t xml:space="preserve">, on the one hand, </w:t>
      </w:r>
      <w:r w:rsidR="00337820" w:rsidRPr="00337820">
        <w:rPr>
          <w:rFonts w:asciiTheme="minorHAnsi" w:hAnsiTheme="minorHAnsi" w:cstheme="minorHAnsi"/>
          <w:sz w:val="24"/>
          <w:szCs w:val="24"/>
          <w:lang w:val="en-US"/>
        </w:rPr>
        <w:t xml:space="preserve">the </w:t>
      </w:r>
      <w:r w:rsidR="00337820" w:rsidRPr="00337820">
        <w:rPr>
          <w:rFonts w:asciiTheme="minorHAnsi" w:hAnsiTheme="minorHAnsi" w:cstheme="minorHAnsi"/>
          <w:w w:val="104"/>
          <w:sz w:val="24"/>
          <w:szCs w:val="24"/>
          <w:lang w:val="en-US"/>
        </w:rPr>
        <w:t>freedom</w:t>
      </w:r>
      <w:r w:rsidR="00337820" w:rsidRPr="00337820">
        <w:rPr>
          <w:rFonts w:asciiTheme="minorHAnsi" w:hAnsiTheme="minorHAnsi" w:cstheme="minorHAnsi"/>
          <w:spacing w:val="9"/>
          <w:sz w:val="24"/>
          <w:szCs w:val="24"/>
          <w:lang w:val="en-US"/>
        </w:rPr>
        <w:t xml:space="preserve"> </w:t>
      </w:r>
      <w:r w:rsidR="00337820" w:rsidRPr="00337820">
        <w:rPr>
          <w:rFonts w:asciiTheme="minorHAnsi" w:hAnsiTheme="minorHAnsi" w:cstheme="minorHAnsi"/>
          <w:w w:val="103"/>
          <w:sz w:val="24"/>
          <w:szCs w:val="24"/>
          <w:lang w:val="en-US"/>
        </w:rPr>
        <w:t>of</w:t>
      </w:r>
      <w:r w:rsidR="00337820" w:rsidRPr="00337820">
        <w:rPr>
          <w:rFonts w:asciiTheme="minorHAnsi" w:hAnsiTheme="minorHAnsi" w:cstheme="minorHAnsi"/>
          <w:spacing w:val="8"/>
          <w:sz w:val="24"/>
          <w:szCs w:val="24"/>
          <w:lang w:val="en-US"/>
        </w:rPr>
        <w:t xml:space="preserve"> </w:t>
      </w:r>
      <w:r w:rsidR="00337820" w:rsidRPr="00337820">
        <w:rPr>
          <w:rFonts w:asciiTheme="minorHAnsi" w:hAnsiTheme="minorHAnsi" w:cstheme="minorHAnsi"/>
          <w:w w:val="104"/>
          <w:sz w:val="24"/>
          <w:szCs w:val="24"/>
          <w:lang w:val="en-US"/>
        </w:rPr>
        <w:t>expression</w:t>
      </w:r>
      <w:r w:rsidR="00337820" w:rsidRPr="00337820">
        <w:rPr>
          <w:rFonts w:asciiTheme="minorHAnsi" w:hAnsiTheme="minorHAnsi" w:cstheme="minorHAnsi"/>
          <w:spacing w:val="10"/>
          <w:sz w:val="24"/>
          <w:szCs w:val="24"/>
          <w:lang w:val="en-US"/>
        </w:rPr>
        <w:t xml:space="preserve"> </w:t>
      </w:r>
      <w:r w:rsidR="00337820" w:rsidRPr="00337820">
        <w:rPr>
          <w:rFonts w:asciiTheme="minorHAnsi" w:hAnsiTheme="minorHAnsi" w:cstheme="minorHAnsi"/>
          <w:w w:val="107"/>
          <w:sz w:val="24"/>
          <w:szCs w:val="24"/>
          <w:lang w:val="en-US"/>
        </w:rPr>
        <w:t xml:space="preserve">and </w:t>
      </w:r>
      <w:r w:rsidR="00337820" w:rsidRPr="00337820">
        <w:rPr>
          <w:rFonts w:asciiTheme="minorHAnsi" w:hAnsiTheme="minorHAnsi" w:cstheme="minorHAnsi"/>
          <w:w w:val="105"/>
          <w:sz w:val="24"/>
          <w:szCs w:val="24"/>
          <w:lang w:val="en-US"/>
        </w:rPr>
        <w:t>the freedom of the arts</w:t>
      </w:r>
      <w:r w:rsidR="00337820">
        <w:rPr>
          <w:rFonts w:asciiTheme="minorHAnsi" w:hAnsiTheme="minorHAnsi" w:cstheme="minorHAnsi"/>
          <w:w w:val="105"/>
          <w:sz w:val="24"/>
          <w:szCs w:val="24"/>
          <w:lang w:val="en-US"/>
        </w:rPr>
        <w:t xml:space="preserve"> and, on the other hand, the right to property, including intellectual property</w:t>
      </w:r>
      <w:r w:rsidR="006C3F4C">
        <w:rPr>
          <w:rFonts w:asciiTheme="minorHAnsi" w:hAnsiTheme="minorHAnsi" w:cstheme="minorHAnsi"/>
          <w:w w:val="105"/>
          <w:sz w:val="24"/>
          <w:szCs w:val="24"/>
          <w:lang w:val="en-US"/>
        </w:rPr>
        <w:t>;</w:t>
      </w:r>
      <w:r w:rsidR="00995285">
        <w:rPr>
          <w:rFonts w:asciiTheme="minorHAnsi" w:hAnsiTheme="minorHAnsi" w:cstheme="minorHAnsi"/>
          <w:w w:val="105"/>
          <w:sz w:val="24"/>
          <w:szCs w:val="24"/>
          <w:lang w:val="en-US"/>
        </w:rPr>
        <w:t xml:space="preserve"> </w:t>
      </w:r>
    </w:p>
    <w:p w14:paraId="12B408C6" w14:textId="77777777" w:rsidR="00B12FE0" w:rsidRDefault="00337820" w:rsidP="00B12FE0">
      <w:pPr>
        <w:tabs>
          <w:tab w:val="left" w:pos="709"/>
        </w:tabs>
        <w:autoSpaceDE w:val="0"/>
        <w:autoSpaceDN w:val="0"/>
        <w:ind w:left="567" w:right="125"/>
        <w:jc w:val="both"/>
        <w:rPr>
          <w:rFonts w:asciiTheme="minorHAnsi" w:hAnsiTheme="minorHAnsi" w:cstheme="minorHAnsi"/>
          <w:w w:val="105"/>
          <w:sz w:val="24"/>
          <w:szCs w:val="24"/>
          <w:lang w:val="en-US"/>
        </w:rPr>
      </w:pPr>
      <w:r>
        <w:rPr>
          <w:rFonts w:asciiTheme="minorHAnsi" w:hAnsiTheme="minorHAnsi" w:cstheme="minorHAnsi"/>
          <w:w w:val="105"/>
          <w:sz w:val="24"/>
          <w:szCs w:val="24"/>
          <w:lang w:val="en-US"/>
        </w:rPr>
        <w:t xml:space="preserve">(iii) the exceptions </w:t>
      </w:r>
      <w:r w:rsidR="00B12FE0">
        <w:rPr>
          <w:rFonts w:asciiTheme="minorHAnsi" w:hAnsiTheme="minorHAnsi" w:cstheme="minorHAnsi"/>
          <w:w w:val="105"/>
          <w:sz w:val="24"/>
          <w:szCs w:val="24"/>
          <w:lang w:val="en-US"/>
        </w:rPr>
        <w:t xml:space="preserve">existing already in the EU law in an optional manner are </w:t>
      </w:r>
      <w:r>
        <w:rPr>
          <w:rFonts w:asciiTheme="minorHAnsi" w:hAnsiTheme="minorHAnsi" w:cstheme="minorHAnsi"/>
          <w:w w:val="105"/>
          <w:sz w:val="24"/>
          <w:szCs w:val="24"/>
          <w:lang w:val="en-US"/>
        </w:rPr>
        <w:t>made mandatory</w:t>
      </w:r>
      <w:r w:rsidR="00B12FE0">
        <w:rPr>
          <w:rFonts w:asciiTheme="minorHAnsi" w:hAnsiTheme="minorHAnsi" w:cstheme="minorHAnsi"/>
          <w:w w:val="105"/>
          <w:sz w:val="24"/>
          <w:szCs w:val="24"/>
          <w:lang w:val="en-US"/>
        </w:rPr>
        <w:t xml:space="preserve"> in order to be applied uniformly in the EU</w:t>
      </w:r>
      <w:r>
        <w:rPr>
          <w:rFonts w:asciiTheme="minorHAnsi" w:hAnsiTheme="minorHAnsi" w:cstheme="minorHAnsi"/>
          <w:w w:val="105"/>
          <w:sz w:val="24"/>
          <w:szCs w:val="24"/>
          <w:lang w:val="en-US"/>
        </w:rPr>
        <w:t xml:space="preserve">; and </w:t>
      </w:r>
    </w:p>
    <w:p w14:paraId="1FC15618" w14:textId="19A93EE0" w:rsidR="00337820" w:rsidRDefault="00337820" w:rsidP="00B12FE0">
      <w:pPr>
        <w:tabs>
          <w:tab w:val="left" w:pos="709"/>
        </w:tabs>
        <w:autoSpaceDE w:val="0"/>
        <w:autoSpaceDN w:val="0"/>
        <w:ind w:left="567" w:right="125"/>
        <w:jc w:val="both"/>
        <w:rPr>
          <w:rFonts w:asciiTheme="minorHAnsi" w:hAnsiTheme="minorHAnsi" w:cstheme="minorHAnsi"/>
          <w:w w:val="105"/>
          <w:sz w:val="24"/>
          <w:szCs w:val="24"/>
          <w:lang w:val="en-US"/>
        </w:rPr>
      </w:pPr>
      <w:r>
        <w:rPr>
          <w:rFonts w:asciiTheme="minorHAnsi" w:hAnsiTheme="minorHAnsi" w:cstheme="minorHAnsi"/>
          <w:w w:val="105"/>
          <w:sz w:val="24"/>
          <w:szCs w:val="24"/>
          <w:lang w:val="en-US"/>
        </w:rPr>
        <w:t xml:space="preserve">(iv) the mandatory </w:t>
      </w:r>
      <w:r w:rsidR="00B12FE0">
        <w:rPr>
          <w:rFonts w:asciiTheme="minorHAnsi" w:hAnsiTheme="minorHAnsi" w:cstheme="minorHAnsi"/>
          <w:w w:val="105"/>
          <w:sz w:val="24"/>
          <w:szCs w:val="24"/>
          <w:lang w:val="en-US"/>
        </w:rPr>
        <w:t xml:space="preserve">nature of the exceptions is to be guaranteed by </w:t>
      </w:r>
      <w:r>
        <w:rPr>
          <w:rFonts w:asciiTheme="minorHAnsi" w:hAnsiTheme="minorHAnsi" w:cstheme="minorHAnsi"/>
          <w:w w:val="105"/>
          <w:sz w:val="24"/>
          <w:szCs w:val="24"/>
          <w:lang w:val="en-US"/>
        </w:rPr>
        <w:t>a compl</w:t>
      </w:r>
      <w:r w:rsidR="00B12FE0">
        <w:rPr>
          <w:rFonts w:asciiTheme="minorHAnsi" w:hAnsiTheme="minorHAnsi" w:cstheme="minorHAnsi"/>
          <w:w w:val="105"/>
          <w:sz w:val="24"/>
          <w:szCs w:val="24"/>
          <w:lang w:val="en-US"/>
        </w:rPr>
        <w:t xml:space="preserve">aint </w:t>
      </w:r>
      <w:r>
        <w:rPr>
          <w:rFonts w:asciiTheme="minorHAnsi" w:hAnsiTheme="minorHAnsi" w:cstheme="minorHAnsi"/>
          <w:w w:val="105"/>
          <w:sz w:val="24"/>
          <w:szCs w:val="24"/>
          <w:lang w:val="en-US"/>
        </w:rPr>
        <w:t xml:space="preserve">and redress mechanism. </w:t>
      </w:r>
    </w:p>
    <w:p w14:paraId="5710991B" w14:textId="77777777" w:rsidR="00337820" w:rsidRDefault="00337820" w:rsidP="006A329D">
      <w:pPr>
        <w:tabs>
          <w:tab w:val="left" w:pos="709"/>
        </w:tabs>
        <w:autoSpaceDE w:val="0"/>
        <w:autoSpaceDN w:val="0"/>
        <w:ind w:right="125"/>
        <w:jc w:val="both"/>
        <w:rPr>
          <w:rFonts w:asciiTheme="minorHAnsi" w:hAnsiTheme="minorHAnsi" w:cstheme="minorHAnsi"/>
          <w:w w:val="105"/>
          <w:sz w:val="24"/>
          <w:szCs w:val="24"/>
          <w:lang w:val="en-US"/>
        </w:rPr>
      </w:pPr>
    </w:p>
    <w:p w14:paraId="32CE781A" w14:textId="77777777" w:rsidR="00BB76AA" w:rsidRPr="003A5C22" w:rsidRDefault="00787541" w:rsidP="006A329D">
      <w:pPr>
        <w:tabs>
          <w:tab w:val="left" w:pos="709"/>
        </w:tabs>
        <w:autoSpaceDE w:val="0"/>
        <w:autoSpaceDN w:val="0"/>
        <w:ind w:right="125"/>
        <w:jc w:val="both"/>
        <w:rPr>
          <w:rFonts w:asciiTheme="minorHAnsi" w:hAnsiTheme="minorHAnsi" w:cstheme="minorHAnsi"/>
          <w:w w:val="105"/>
          <w:sz w:val="24"/>
          <w:szCs w:val="24"/>
          <w:lang w:val="en-US"/>
        </w:rPr>
      </w:pPr>
      <w:r w:rsidRPr="003A5C22">
        <w:rPr>
          <w:rStyle w:val="AlcmChar"/>
          <w:rFonts w:asciiTheme="minorHAnsi" w:eastAsiaTheme="minorHAnsi" w:hAnsiTheme="minorHAnsi" w:cstheme="minorHAnsi"/>
        </w:rPr>
        <w:t xml:space="preserve">It follows from the </w:t>
      </w:r>
      <w:r w:rsidR="000463D9" w:rsidRPr="003A5C22">
        <w:rPr>
          <w:rStyle w:val="AlcmChar"/>
          <w:rFonts w:asciiTheme="minorHAnsi" w:eastAsiaTheme="minorHAnsi" w:hAnsiTheme="minorHAnsi" w:cstheme="minorHAnsi"/>
        </w:rPr>
        <w:t xml:space="preserve">literal, systematic and teleological interpretation </w:t>
      </w:r>
      <w:r w:rsidRPr="003A5C22">
        <w:rPr>
          <w:rStyle w:val="AlcmChar"/>
          <w:rFonts w:asciiTheme="minorHAnsi" w:eastAsiaTheme="minorHAnsi" w:hAnsiTheme="minorHAnsi" w:cstheme="minorHAnsi"/>
        </w:rPr>
        <w:t xml:space="preserve">of these provisions </w:t>
      </w:r>
      <w:r w:rsidR="00234F86" w:rsidRPr="003A5C22">
        <w:rPr>
          <w:rStyle w:val="AlcmChar"/>
          <w:rFonts w:asciiTheme="minorHAnsi" w:eastAsiaTheme="minorHAnsi" w:hAnsiTheme="minorHAnsi" w:cstheme="minorHAnsi"/>
        </w:rPr>
        <w:t>that</w:t>
      </w:r>
      <w:r w:rsidR="00995285" w:rsidRPr="003A5C22">
        <w:rPr>
          <w:rStyle w:val="AlcmChar"/>
          <w:rFonts w:asciiTheme="minorHAnsi" w:eastAsiaTheme="minorHAnsi" w:hAnsiTheme="minorHAnsi" w:cstheme="minorHAnsi"/>
        </w:rPr>
        <w:t xml:space="preserve"> the Directive does not establish some specific category of exceptions and limitations and does not change the </w:t>
      </w:r>
      <w:r w:rsidR="00BB76AA" w:rsidRPr="003A5C22">
        <w:rPr>
          <w:rStyle w:val="AlcmChar"/>
          <w:rFonts w:asciiTheme="minorHAnsi" w:eastAsiaTheme="minorHAnsi" w:hAnsiTheme="minorHAnsi" w:cstheme="minorHAnsi"/>
        </w:rPr>
        <w:t xml:space="preserve">justification and </w:t>
      </w:r>
      <w:r w:rsidR="00995285" w:rsidRPr="003A5C22">
        <w:rPr>
          <w:rStyle w:val="AlcmChar"/>
          <w:rFonts w:asciiTheme="minorHAnsi" w:eastAsiaTheme="minorHAnsi" w:hAnsiTheme="minorHAnsi" w:cstheme="minorHAnsi"/>
        </w:rPr>
        <w:t>nature of the existing exceptions</w:t>
      </w:r>
      <w:r w:rsidR="00BB76AA" w:rsidRPr="003A5C22">
        <w:rPr>
          <w:rStyle w:val="AlcmChar"/>
          <w:rFonts w:asciiTheme="minorHAnsi" w:eastAsiaTheme="minorHAnsi" w:hAnsiTheme="minorHAnsi" w:cstheme="minorHAnsi"/>
        </w:rPr>
        <w:t>; just it makes them mandatory and guarantees their mandatory application through a complaint</w:t>
      </w:r>
      <w:r w:rsidR="00BB76AA" w:rsidRPr="003A5C22">
        <w:rPr>
          <w:rFonts w:asciiTheme="minorHAnsi" w:hAnsiTheme="minorHAnsi" w:cstheme="minorHAnsi"/>
          <w:w w:val="105"/>
          <w:sz w:val="24"/>
          <w:szCs w:val="24"/>
          <w:lang w:val="en-US"/>
        </w:rPr>
        <w:t xml:space="preserve"> and redress mechanism.     </w:t>
      </w:r>
    </w:p>
    <w:p w14:paraId="35E24860" w14:textId="77777777" w:rsidR="00BB76AA" w:rsidRDefault="00BB76AA" w:rsidP="006A329D">
      <w:pPr>
        <w:tabs>
          <w:tab w:val="left" w:pos="709"/>
        </w:tabs>
        <w:autoSpaceDE w:val="0"/>
        <w:autoSpaceDN w:val="0"/>
        <w:ind w:right="125"/>
        <w:jc w:val="both"/>
        <w:rPr>
          <w:rFonts w:asciiTheme="minorHAnsi" w:hAnsiTheme="minorHAnsi" w:cstheme="minorHAnsi"/>
          <w:w w:val="105"/>
          <w:sz w:val="24"/>
          <w:szCs w:val="24"/>
          <w:lang w:val="en-US"/>
        </w:rPr>
      </w:pPr>
    </w:p>
    <w:p w14:paraId="44FF56ED" w14:textId="34CCF295" w:rsidR="00732A59" w:rsidRDefault="00BB76AA" w:rsidP="00481A6C">
      <w:pPr>
        <w:tabs>
          <w:tab w:val="left" w:pos="284"/>
        </w:tabs>
        <w:autoSpaceDE w:val="0"/>
        <w:autoSpaceDN w:val="0"/>
        <w:jc w:val="both"/>
        <w:rPr>
          <w:rFonts w:asciiTheme="minorHAnsi" w:hAnsiTheme="minorHAnsi" w:cstheme="minorHAnsi"/>
          <w:w w:val="105"/>
          <w:sz w:val="24"/>
          <w:szCs w:val="24"/>
          <w:lang w:val="en-US"/>
        </w:rPr>
      </w:pPr>
      <w:r w:rsidRPr="00300E0A">
        <w:rPr>
          <w:rStyle w:val="AlcmChar"/>
          <w:rFonts w:asciiTheme="minorHAnsi" w:eastAsiaTheme="minorHAnsi" w:hAnsiTheme="minorHAnsi" w:cstheme="minorHAnsi"/>
        </w:rPr>
        <w:t>Article</w:t>
      </w:r>
      <w:r w:rsidR="00ED34C8" w:rsidRPr="00300E0A">
        <w:rPr>
          <w:rStyle w:val="AlcmChar"/>
          <w:rFonts w:asciiTheme="minorHAnsi" w:eastAsiaTheme="minorHAnsi" w:hAnsiTheme="minorHAnsi" w:cstheme="minorHAnsi"/>
        </w:rPr>
        <w:t xml:space="preserve"> </w:t>
      </w:r>
      <w:r w:rsidR="002B0180" w:rsidRPr="00300E0A">
        <w:rPr>
          <w:rStyle w:val="AlcmChar"/>
          <w:rFonts w:asciiTheme="minorHAnsi" w:eastAsiaTheme="minorHAnsi" w:hAnsiTheme="minorHAnsi" w:cstheme="minorHAnsi"/>
        </w:rPr>
        <w:t>1</w:t>
      </w:r>
      <w:r w:rsidR="00ED34C8" w:rsidRPr="00300E0A">
        <w:rPr>
          <w:rStyle w:val="AlcmChar"/>
          <w:rFonts w:asciiTheme="minorHAnsi" w:eastAsiaTheme="minorHAnsi" w:hAnsiTheme="minorHAnsi" w:cstheme="minorHAnsi"/>
        </w:rPr>
        <w:t xml:space="preserve">7(7) does not introduce new exceptions but </w:t>
      </w:r>
      <w:r w:rsidR="00787541" w:rsidRPr="00300E0A">
        <w:rPr>
          <w:rStyle w:val="AlcmChar"/>
          <w:rFonts w:asciiTheme="minorHAnsi" w:eastAsiaTheme="minorHAnsi" w:hAnsiTheme="minorHAnsi" w:cstheme="minorHAnsi"/>
        </w:rPr>
        <w:t>refers to</w:t>
      </w:r>
      <w:r w:rsidR="00ED34C8" w:rsidRPr="00300E0A">
        <w:rPr>
          <w:rStyle w:val="AlcmChar"/>
          <w:rFonts w:asciiTheme="minorHAnsi" w:eastAsiaTheme="minorHAnsi" w:hAnsiTheme="minorHAnsi" w:cstheme="minorHAnsi"/>
        </w:rPr>
        <w:t xml:space="preserve"> existing ones</w:t>
      </w:r>
      <w:r w:rsidR="00FC5121" w:rsidRPr="00300E0A">
        <w:rPr>
          <w:rStyle w:val="AlcmChar"/>
          <w:rFonts w:asciiTheme="minorHAnsi" w:eastAsiaTheme="minorHAnsi" w:hAnsiTheme="minorHAnsi" w:cstheme="minorHAnsi"/>
        </w:rPr>
        <w:t xml:space="preserve"> </w:t>
      </w:r>
      <w:r w:rsidR="00ED34C8" w:rsidRPr="00300E0A">
        <w:rPr>
          <w:rStyle w:val="AlcmChar"/>
          <w:rFonts w:asciiTheme="minorHAnsi" w:eastAsiaTheme="minorHAnsi" w:hAnsiTheme="minorHAnsi" w:cstheme="minorHAnsi"/>
        </w:rPr>
        <w:t>as provided in Article 5 of the Information Society Directive. The justification</w:t>
      </w:r>
      <w:r w:rsidR="00FC5121" w:rsidRPr="00300E0A">
        <w:rPr>
          <w:rStyle w:val="AlcmChar"/>
          <w:rFonts w:asciiTheme="minorHAnsi" w:eastAsiaTheme="minorHAnsi" w:hAnsiTheme="minorHAnsi" w:cstheme="minorHAnsi"/>
        </w:rPr>
        <w:t xml:space="preserve"> of</w:t>
      </w:r>
      <w:r w:rsidR="00ED34C8" w:rsidRPr="00300E0A">
        <w:rPr>
          <w:rStyle w:val="AlcmChar"/>
          <w:rFonts w:asciiTheme="minorHAnsi" w:eastAsiaTheme="minorHAnsi" w:hAnsiTheme="minorHAnsi" w:cstheme="minorHAnsi"/>
        </w:rPr>
        <w:t xml:space="preserve"> the exceptions to be applied (to form a special case) is the same as under the existing EU and international norms; the fact that the optional exceptions are made mandatory does not change </w:t>
      </w:r>
      <w:r w:rsidR="00BB4ACA" w:rsidRPr="00300E0A">
        <w:rPr>
          <w:rStyle w:val="AlcmChar"/>
          <w:rFonts w:asciiTheme="minorHAnsi" w:eastAsiaTheme="minorHAnsi" w:hAnsiTheme="minorHAnsi" w:cstheme="minorHAnsi"/>
        </w:rPr>
        <w:t xml:space="preserve">their </w:t>
      </w:r>
      <w:r w:rsidR="00FC5121" w:rsidRPr="00300E0A">
        <w:rPr>
          <w:rStyle w:val="AlcmChar"/>
          <w:rFonts w:asciiTheme="minorHAnsi" w:eastAsiaTheme="minorHAnsi" w:hAnsiTheme="minorHAnsi" w:cstheme="minorHAnsi"/>
        </w:rPr>
        <w:t xml:space="preserve">nature and </w:t>
      </w:r>
      <w:r w:rsidR="00ED34C8" w:rsidRPr="00300E0A">
        <w:rPr>
          <w:rStyle w:val="AlcmChar"/>
          <w:rFonts w:asciiTheme="minorHAnsi" w:eastAsiaTheme="minorHAnsi" w:hAnsiTheme="minorHAnsi" w:cstheme="minorHAnsi"/>
        </w:rPr>
        <w:t xml:space="preserve">conditions of applicability either. </w:t>
      </w:r>
      <w:r w:rsidR="00FC5121" w:rsidRPr="00300E0A">
        <w:rPr>
          <w:rStyle w:val="AlcmChar"/>
          <w:rFonts w:asciiTheme="minorHAnsi" w:eastAsiaTheme="minorHAnsi" w:hAnsiTheme="minorHAnsi" w:cstheme="minorHAnsi"/>
        </w:rPr>
        <w:t>It</w:t>
      </w:r>
      <w:r w:rsidR="00732A59" w:rsidRPr="00300E0A">
        <w:rPr>
          <w:rStyle w:val="AlcmChar"/>
          <w:rFonts w:asciiTheme="minorHAnsi" w:eastAsiaTheme="minorHAnsi" w:hAnsiTheme="minorHAnsi" w:cstheme="minorHAnsi"/>
        </w:rPr>
        <w:t xml:space="preserve"> may be easily </w:t>
      </w:r>
      <w:r w:rsidR="00FC5121" w:rsidRPr="00300E0A">
        <w:rPr>
          <w:rStyle w:val="AlcmChar"/>
          <w:rFonts w:asciiTheme="minorHAnsi" w:eastAsiaTheme="minorHAnsi" w:hAnsiTheme="minorHAnsi" w:cstheme="minorHAnsi"/>
        </w:rPr>
        <w:t xml:space="preserve">realized that this is the case since, when these until now optional exceptions were applied in national laws – and thus became mandatory in the given countries – </w:t>
      </w:r>
      <w:r w:rsidR="00787541" w:rsidRPr="00300E0A">
        <w:rPr>
          <w:rStyle w:val="AlcmChar"/>
          <w:rFonts w:asciiTheme="minorHAnsi" w:eastAsiaTheme="minorHAnsi" w:hAnsiTheme="minorHAnsi" w:cstheme="minorHAnsi"/>
        </w:rPr>
        <w:t>it</w:t>
      </w:r>
      <w:r w:rsidR="00FC5121" w:rsidRPr="00300E0A">
        <w:rPr>
          <w:rStyle w:val="AlcmChar"/>
          <w:rFonts w:asciiTheme="minorHAnsi" w:eastAsiaTheme="minorHAnsi" w:hAnsiTheme="minorHAnsi" w:cstheme="minorHAnsi"/>
        </w:rPr>
        <w:t xml:space="preserve"> did not change in any way their justification and nature or the conditions of their applica</w:t>
      </w:r>
      <w:r w:rsidR="00787541" w:rsidRPr="00300E0A">
        <w:rPr>
          <w:rStyle w:val="AlcmChar"/>
          <w:rFonts w:asciiTheme="minorHAnsi" w:eastAsiaTheme="minorHAnsi" w:hAnsiTheme="minorHAnsi" w:cstheme="minorHAnsi"/>
        </w:rPr>
        <w:t>tion</w:t>
      </w:r>
      <w:r w:rsidR="00FC5121" w:rsidRPr="00300E0A">
        <w:rPr>
          <w:rStyle w:val="AlcmChar"/>
          <w:rFonts w:asciiTheme="minorHAnsi" w:eastAsiaTheme="minorHAnsi" w:hAnsiTheme="minorHAnsi" w:cstheme="minorHAnsi"/>
        </w:rPr>
        <w:t>.</w:t>
      </w:r>
      <w:r w:rsidR="00E26037" w:rsidRPr="00300E0A">
        <w:rPr>
          <w:rStyle w:val="AlcmChar"/>
          <w:rFonts w:asciiTheme="minorHAnsi" w:eastAsiaTheme="minorHAnsi" w:hAnsiTheme="minorHAnsi" w:cstheme="minorHAnsi"/>
        </w:rPr>
        <w:t xml:space="preserve"> </w:t>
      </w:r>
      <w:r w:rsidR="00FC5121" w:rsidRPr="00300E0A">
        <w:rPr>
          <w:rStyle w:val="AlcmChar"/>
          <w:rFonts w:asciiTheme="minorHAnsi" w:eastAsiaTheme="minorHAnsi" w:hAnsiTheme="minorHAnsi" w:cstheme="minorHAnsi"/>
        </w:rPr>
        <w:t xml:space="preserve">The existing exceptions listed in Article </w:t>
      </w:r>
      <w:r w:rsidR="002B0180" w:rsidRPr="00300E0A">
        <w:rPr>
          <w:rStyle w:val="AlcmChar"/>
          <w:rFonts w:asciiTheme="minorHAnsi" w:eastAsiaTheme="minorHAnsi" w:hAnsiTheme="minorHAnsi" w:cstheme="minorHAnsi"/>
        </w:rPr>
        <w:t>1</w:t>
      </w:r>
      <w:r w:rsidR="00FC5121" w:rsidRPr="00300E0A">
        <w:rPr>
          <w:rStyle w:val="AlcmChar"/>
          <w:rFonts w:asciiTheme="minorHAnsi" w:eastAsiaTheme="minorHAnsi" w:hAnsiTheme="minorHAnsi" w:cstheme="minorHAnsi"/>
        </w:rPr>
        <w:t xml:space="preserve">7(7) are subject to the three-step test; thus they may only be applied </w:t>
      </w:r>
      <w:r w:rsidR="00E26037" w:rsidRPr="00300E0A">
        <w:rPr>
          <w:rStyle w:val="AlcmChar"/>
          <w:rFonts w:asciiTheme="minorHAnsi" w:eastAsiaTheme="minorHAnsi" w:hAnsiTheme="minorHAnsi" w:cstheme="minorHAnsi"/>
        </w:rPr>
        <w:t xml:space="preserve">in the given special cases </w:t>
      </w:r>
      <w:r w:rsidR="00FC5121" w:rsidRPr="00300E0A">
        <w:rPr>
          <w:rStyle w:val="AlcmChar"/>
          <w:rFonts w:asciiTheme="minorHAnsi" w:eastAsiaTheme="minorHAnsi" w:hAnsiTheme="minorHAnsi" w:cstheme="minorHAnsi"/>
        </w:rPr>
        <w:t>provided they do not unreasonably conflict with a normal exploitation</w:t>
      </w:r>
      <w:r w:rsidR="00E26037" w:rsidRPr="00300E0A">
        <w:rPr>
          <w:rStyle w:val="AlcmChar"/>
          <w:rFonts w:asciiTheme="minorHAnsi" w:eastAsiaTheme="minorHAnsi" w:hAnsiTheme="minorHAnsi" w:cstheme="minorHAnsi"/>
        </w:rPr>
        <w:t xml:space="preserve"> of the works and objects of related rights concerned and further provided that they do not unreasonably prejudice the legitimate interests of rightholders.</w:t>
      </w:r>
      <w:r w:rsidR="00E26037">
        <w:rPr>
          <w:rFonts w:asciiTheme="minorHAnsi" w:hAnsiTheme="minorHAnsi" w:cstheme="minorHAnsi"/>
          <w:w w:val="105"/>
          <w:sz w:val="24"/>
          <w:szCs w:val="24"/>
          <w:lang w:val="en-US"/>
        </w:rPr>
        <w:t xml:space="preserve">   </w:t>
      </w:r>
      <w:r w:rsidR="00FC5121">
        <w:rPr>
          <w:rFonts w:asciiTheme="minorHAnsi" w:hAnsiTheme="minorHAnsi" w:cstheme="minorHAnsi"/>
          <w:w w:val="105"/>
          <w:sz w:val="24"/>
          <w:szCs w:val="24"/>
          <w:lang w:val="en-US"/>
        </w:rPr>
        <w:t xml:space="preserve"> </w:t>
      </w:r>
    </w:p>
    <w:p w14:paraId="12B6A9F4" w14:textId="77777777" w:rsidR="00732A59" w:rsidRDefault="00732A59" w:rsidP="00481A6C">
      <w:pPr>
        <w:tabs>
          <w:tab w:val="left" w:pos="284"/>
        </w:tabs>
        <w:autoSpaceDE w:val="0"/>
        <w:autoSpaceDN w:val="0"/>
        <w:jc w:val="both"/>
        <w:rPr>
          <w:rFonts w:asciiTheme="minorHAnsi" w:hAnsiTheme="minorHAnsi" w:cstheme="minorHAnsi"/>
          <w:w w:val="105"/>
          <w:sz w:val="24"/>
          <w:szCs w:val="24"/>
          <w:lang w:val="en-US"/>
        </w:rPr>
      </w:pPr>
    </w:p>
    <w:p w14:paraId="04A29FAE" w14:textId="7E272FCE" w:rsidR="00CB6569" w:rsidRPr="00300E0A" w:rsidRDefault="00E26037" w:rsidP="00CB6569">
      <w:pPr>
        <w:tabs>
          <w:tab w:val="left" w:pos="709"/>
        </w:tabs>
        <w:autoSpaceDE w:val="0"/>
        <w:autoSpaceDN w:val="0"/>
        <w:ind w:right="125"/>
        <w:jc w:val="both"/>
        <w:rPr>
          <w:rStyle w:val="AlcmChar"/>
          <w:rFonts w:asciiTheme="minorHAnsi" w:eastAsiaTheme="minorHAnsi" w:hAnsiTheme="minorHAnsi" w:cstheme="minorHAnsi"/>
        </w:rPr>
      </w:pPr>
      <w:r w:rsidRPr="00300E0A">
        <w:rPr>
          <w:rStyle w:val="AlcmChar"/>
          <w:rFonts w:asciiTheme="minorHAnsi" w:eastAsiaTheme="minorHAnsi" w:hAnsiTheme="minorHAnsi" w:cstheme="minorHAnsi"/>
        </w:rPr>
        <w:t xml:space="preserve">The three-step test is supposed to serve to achieve the </w:t>
      </w:r>
      <w:r w:rsidR="00787541" w:rsidRPr="00300E0A">
        <w:rPr>
          <w:rStyle w:val="AlcmChar"/>
          <w:rFonts w:asciiTheme="minorHAnsi" w:eastAsiaTheme="minorHAnsi" w:hAnsiTheme="minorHAnsi" w:cstheme="minorHAnsi"/>
        </w:rPr>
        <w:t xml:space="preserve">key </w:t>
      </w:r>
      <w:r w:rsidRPr="00300E0A">
        <w:rPr>
          <w:rStyle w:val="AlcmChar"/>
          <w:rFonts w:asciiTheme="minorHAnsi" w:eastAsiaTheme="minorHAnsi" w:hAnsiTheme="minorHAnsi" w:cstheme="minorHAnsi"/>
        </w:rPr>
        <w:t xml:space="preserve">teleological objective of the regulation in Article </w:t>
      </w:r>
      <w:r w:rsidR="002B0180" w:rsidRPr="00300E0A">
        <w:rPr>
          <w:rStyle w:val="AlcmChar"/>
          <w:rFonts w:asciiTheme="minorHAnsi" w:eastAsiaTheme="minorHAnsi" w:hAnsiTheme="minorHAnsi" w:cstheme="minorHAnsi"/>
        </w:rPr>
        <w:t>1</w:t>
      </w:r>
      <w:r w:rsidRPr="00300E0A">
        <w:rPr>
          <w:rStyle w:val="AlcmChar"/>
          <w:rFonts w:asciiTheme="minorHAnsi" w:eastAsiaTheme="minorHAnsi" w:hAnsiTheme="minorHAnsi" w:cstheme="minorHAnsi"/>
        </w:rPr>
        <w:t>7 as indicated in recital (70): striking a balance between the various legitimate public and private interests, in particular between the various human rights</w:t>
      </w:r>
      <w:r w:rsidR="00CB6569" w:rsidRPr="00300E0A">
        <w:rPr>
          <w:rStyle w:val="AlcmChar"/>
          <w:rFonts w:asciiTheme="minorHAnsi" w:eastAsiaTheme="minorHAnsi" w:hAnsiTheme="minorHAnsi" w:cstheme="minorHAnsi"/>
        </w:rPr>
        <w:t xml:space="preserve"> of which, on the one hand, the freedom of expression and the freedom of the arts and, on the other hand, the right to property, including intellectual property are mentioned.</w:t>
      </w:r>
      <w:r w:rsidR="00CB6569">
        <w:rPr>
          <w:rFonts w:asciiTheme="minorHAnsi" w:hAnsiTheme="minorHAnsi" w:cstheme="minorHAnsi"/>
          <w:w w:val="105"/>
          <w:sz w:val="24"/>
          <w:szCs w:val="24"/>
          <w:lang w:val="en-US"/>
        </w:rPr>
        <w:t xml:space="preserve"> </w:t>
      </w:r>
      <w:r w:rsidR="00CB6569" w:rsidRPr="00300E0A">
        <w:rPr>
          <w:rStyle w:val="AlcmChar"/>
          <w:rFonts w:asciiTheme="minorHAnsi" w:eastAsiaTheme="minorHAnsi" w:hAnsiTheme="minorHAnsi" w:cstheme="minorHAnsi"/>
        </w:rPr>
        <w:t>However, the fact that only property rights are mentioned obviously does not mean that</w:t>
      </w:r>
      <w:r w:rsidR="00787541" w:rsidRPr="00300E0A">
        <w:rPr>
          <w:rStyle w:val="AlcmChar"/>
          <w:rFonts w:asciiTheme="minorHAnsi" w:eastAsiaTheme="minorHAnsi" w:hAnsiTheme="minorHAnsi" w:cstheme="minorHAnsi"/>
        </w:rPr>
        <w:t>,</w:t>
      </w:r>
      <w:r w:rsidR="00CB6569" w:rsidRPr="00300E0A">
        <w:rPr>
          <w:rStyle w:val="AlcmChar"/>
          <w:rFonts w:asciiTheme="minorHAnsi" w:eastAsiaTheme="minorHAnsi" w:hAnsiTheme="minorHAnsi" w:cstheme="minorHAnsi"/>
        </w:rPr>
        <w:t xml:space="preserve"> under the Directive</w:t>
      </w:r>
      <w:r w:rsidR="00787541" w:rsidRPr="00300E0A">
        <w:rPr>
          <w:rStyle w:val="AlcmChar"/>
          <w:rFonts w:asciiTheme="minorHAnsi" w:eastAsiaTheme="minorHAnsi" w:hAnsiTheme="minorHAnsi" w:cstheme="minorHAnsi"/>
        </w:rPr>
        <w:t>,</w:t>
      </w:r>
      <w:r w:rsidR="00CB6569" w:rsidRPr="00300E0A">
        <w:rPr>
          <w:rStyle w:val="AlcmChar"/>
          <w:rFonts w:asciiTheme="minorHAnsi" w:eastAsiaTheme="minorHAnsi" w:hAnsiTheme="minorHAnsi" w:cstheme="minorHAnsi"/>
        </w:rPr>
        <w:t xml:space="preserve"> it would not be necessary to also </w:t>
      </w:r>
      <w:r w:rsidR="00787541" w:rsidRPr="00300E0A">
        <w:rPr>
          <w:rStyle w:val="AlcmChar"/>
          <w:rFonts w:asciiTheme="minorHAnsi" w:eastAsiaTheme="minorHAnsi" w:hAnsiTheme="minorHAnsi" w:cstheme="minorHAnsi"/>
        </w:rPr>
        <w:t xml:space="preserve">establish due </w:t>
      </w:r>
      <w:r w:rsidR="00CB6569" w:rsidRPr="00300E0A">
        <w:rPr>
          <w:rStyle w:val="AlcmChar"/>
          <w:rFonts w:asciiTheme="minorHAnsi" w:eastAsiaTheme="minorHAnsi" w:hAnsiTheme="minorHAnsi" w:cstheme="minorHAnsi"/>
        </w:rPr>
        <w:t>balance with the moral rights of authors and performers prescribed in the international treaties binding the EU and its Member States</w:t>
      </w:r>
      <w:r w:rsidR="00787541" w:rsidRPr="00300E0A">
        <w:rPr>
          <w:rStyle w:val="AlcmChar"/>
          <w:rFonts w:asciiTheme="minorHAnsi" w:eastAsiaTheme="minorHAnsi" w:hAnsiTheme="minorHAnsi" w:cstheme="minorHAnsi"/>
        </w:rPr>
        <w:t>,</w:t>
      </w:r>
      <w:r w:rsidR="00CB6569" w:rsidRPr="00300E0A">
        <w:rPr>
          <w:rStyle w:val="AlcmChar"/>
          <w:rFonts w:asciiTheme="minorHAnsi" w:eastAsiaTheme="minorHAnsi" w:hAnsiTheme="minorHAnsi" w:cstheme="minorHAnsi"/>
        </w:rPr>
        <w:t xml:space="preserve"> which are also recognized – along with authors’ economic rights – as human rights under Article 27(2) of the Universal Declaration of Human Rights.        </w:t>
      </w:r>
    </w:p>
    <w:p w14:paraId="6DD485DD" w14:textId="77777777" w:rsidR="00732A59" w:rsidRDefault="00CB6569" w:rsidP="00481A6C">
      <w:pPr>
        <w:tabs>
          <w:tab w:val="left" w:pos="284"/>
        </w:tabs>
        <w:autoSpaceDE w:val="0"/>
        <w:autoSpaceDN w:val="0"/>
        <w:jc w:val="both"/>
        <w:rPr>
          <w:rFonts w:asciiTheme="minorHAnsi" w:hAnsiTheme="minorHAnsi" w:cstheme="minorHAnsi"/>
          <w:w w:val="105"/>
          <w:sz w:val="24"/>
          <w:szCs w:val="24"/>
          <w:lang w:val="en-US"/>
        </w:rPr>
      </w:pPr>
      <w:r>
        <w:rPr>
          <w:rFonts w:asciiTheme="minorHAnsi" w:hAnsiTheme="minorHAnsi" w:cstheme="minorHAnsi"/>
          <w:w w:val="105"/>
          <w:sz w:val="24"/>
          <w:szCs w:val="24"/>
          <w:lang w:val="en-US"/>
        </w:rPr>
        <w:t xml:space="preserve"> </w:t>
      </w:r>
      <w:r w:rsidR="00E26037">
        <w:rPr>
          <w:rFonts w:asciiTheme="minorHAnsi" w:hAnsiTheme="minorHAnsi" w:cstheme="minorHAnsi"/>
          <w:w w:val="105"/>
          <w:sz w:val="24"/>
          <w:szCs w:val="24"/>
          <w:lang w:val="en-US"/>
        </w:rPr>
        <w:t xml:space="preserve">      </w:t>
      </w:r>
    </w:p>
    <w:p w14:paraId="0D205D35" w14:textId="0BF48CBC" w:rsidR="005E2044" w:rsidRPr="00300E0A" w:rsidRDefault="00CB6569" w:rsidP="00300E0A">
      <w:pPr>
        <w:pStyle w:val="Alcm"/>
        <w:jc w:val="both"/>
        <w:rPr>
          <w:rFonts w:asciiTheme="minorHAnsi" w:hAnsiTheme="minorHAnsi" w:cstheme="minorHAnsi"/>
        </w:rPr>
      </w:pPr>
      <w:r w:rsidRPr="00300E0A">
        <w:rPr>
          <w:rStyle w:val="AlcmChar"/>
          <w:rFonts w:asciiTheme="minorHAnsi" w:hAnsiTheme="minorHAnsi" w:cstheme="minorHAnsi"/>
        </w:rPr>
        <w:t xml:space="preserve">These </w:t>
      </w:r>
      <w:r w:rsidR="00787541" w:rsidRPr="00300E0A">
        <w:rPr>
          <w:rStyle w:val="AlcmChar"/>
          <w:rFonts w:asciiTheme="minorHAnsi" w:hAnsiTheme="minorHAnsi" w:cstheme="minorHAnsi"/>
        </w:rPr>
        <w:t xml:space="preserve">decisive </w:t>
      </w:r>
      <w:r w:rsidRPr="00300E0A">
        <w:rPr>
          <w:rStyle w:val="AlcmChar"/>
          <w:rFonts w:asciiTheme="minorHAnsi" w:hAnsiTheme="minorHAnsi" w:cstheme="minorHAnsi"/>
        </w:rPr>
        <w:t xml:space="preserve">aspects for literal, systematic and teleological interpretation make it clear why there is </w:t>
      </w:r>
      <w:r w:rsidR="00031D32" w:rsidRPr="00300E0A">
        <w:rPr>
          <w:rStyle w:val="AlcmChar"/>
          <w:rFonts w:asciiTheme="minorHAnsi" w:hAnsiTheme="minorHAnsi" w:cstheme="minorHAnsi"/>
        </w:rPr>
        <w:t>no indication in the Directive</w:t>
      </w:r>
      <w:r w:rsidR="00787541" w:rsidRPr="00300E0A">
        <w:rPr>
          <w:rStyle w:val="AlcmChar"/>
          <w:rFonts w:asciiTheme="minorHAnsi" w:hAnsiTheme="minorHAnsi" w:cstheme="minorHAnsi"/>
        </w:rPr>
        <w:t xml:space="preserve"> of </w:t>
      </w:r>
      <w:r w:rsidR="00031D32" w:rsidRPr="00300E0A">
        <w:rPr>
          <w:rStyle w:val="AlcmChar"/>
          <w:rFonts w:asciiTheme="minorHAnsi" w:hAnsiTheme="minorHAnsi" w:cstheme="minorHAnsi"/>
        </w:rPr>
        <w:t xml:space="preserve">any intention to establish a specific category of exceptions to cover those listed in the second subparagraph of Article </w:t>
      </w:r>
      <w:r w:rsidR="002B0180" w:rsidRPr="00300E0A">
        <w:rPr>
          <w:rStyle w:val="AlcmChar"/>
          <w:rFonts w:asciiTheme="minorHAnsi" w:hAnsiTheme="minorHAnsi" w:cstheme="minorHAnsi"/>
        </w:rPr>
        <w:t>1</w:t>
      </w:r>
      <w:r w:rsidR="00031D32" w:rsidRPr="00300E0A">
        <w:rPr>
          <w:rStyle w:val="AlcmChar"/>
          <w:rFonts w:asciiTheme="minorHAnsi" w:hAnsiTheme="minorHAnsi" w:cstheme="minorHAnsi"/>
        </w:rPr>
        <w:t xml:space="preserve">7(7) as some new “users’ rights” or otherwise to be applied “broadly” as it is suggested in the Recommendations. </w:t>
      </w:r>
      <w:r w:rsidR="00031D32" w:rsidRPr="00300E0A">
        <w:rPr>
          <w:rFonts w:asciiTheme="minorHAnsi" w:hAnsiTheme="minorHAnsi" w:cstheme="minorHAnsi"/>
        </w:rPr>
        <w:t>Simply, there is no such intention</w:t>
      </w:r>
      <w:r w:rsidR="00787541" w:rsidRPr="00300E0A">
        <w:rPr>
          <w:rFonts w:asciiTheme="minorHAnsi" w:hAnsiTheme="minorHAnsi" w:cstheme="minorHAnsi"/>
        </w:rPr>
        <w:t>,</w:t>
      </w:r>
      <w:r w:rsidR="00031D32" w:rsidRPr="00300E0A">
        <w:rPr>
          <w:rFonts w:asciiTheme="minorHAnsi" w:hAnsiTheme="minorHAnsi" w:cstheme="minorHAnsi"/>
        </w:rPr>
        <w:t xml:space="preserve"> and the requirement </w:t>
      </w:r>
      <w:r w:rsidR="00FC3C49" w:rsidRPr="00300E0A">
        <w:rPr>
          <w:rFonts w:asciiTheme="minorHAnsi" w:hAnsiTheme="minorHAnsi" w:cstheme="minorHAnsi"/>
        </w:rPr>
        <w:t>to be in</w:t>
      </w:r>
      <w:r w:rsidR="00031D32" w:rsidRPr="00300E0A">
        <w:rPr>
          <w:rFonts w:asciiTheme="minorHAnsi" w:hAnsiTheme="minorHAnsi" w:cstheme="minorHAnsi"/>
        </w:rPr>
        <w:t xml:space="preserve"> accordance with the EU law and the treaties binding the EU and its Member States would not allow to </w:t>
      </w:r>
      <w:r w:rsidR="00B54DD7" w:rsidRPr="00300E0A">
        <w:rPr>
          <w:rFonts w:asciiTheme="minorHAnsi" w:hAnsiTheme="minorHAnsi" w:cstheme="minorHAnsi"/>
        </w:rPr>
        <w:t xml:space="preserve">proceed </w:t>
      </w:r>
      <w:r w:rsidR="00FC3C49" w:rsidRPr="00300E0A">
        <w:rPr>
          <w:rFonts w:asciiTheme="minorHAnsi" w:hAnsiTheme="minorHAnsi" w:cstheme="minorHAnsi"/>
        </w:rPr>
        <w:t>along that line</w:t>
      </w:r>
      <w:r w:rsidR="005E2044" w:rsidRPr="00300E0A">
        <w:rPr>
          <w:rFonts w:asciiTheme="minorHAnsi" w:hAnsiTheme="minorHAnsi" w:cstheme="minorHAnsi"/>
        </w:rPr>
        <w:t xml:space="preserve"> either</w:t>
      </w:r>
      <w:r w:rsidR="00031D32" w:rsidRPr="00300E0A">
        <w:rPr>
          <w:rFonts w:asciiTheme="minorHAnsi" w:hAnsiTheme="minorHAnsi" w:cstheme="minorHAnsi"/>
        </w:rPr>
        <w:t xml:space="preserve">; </w:t>
      </w:r>
      <w:r w:rsidR="00787541" w:rsidRPr="00300E0A">
        <w:rPr>
          <w:rFonts w:asciiTheme="minorHAnsi" w:hAnsiTheme="minorHAnsi" w:cstheme="minorHAnsi"/>
        </w:rPr>
        <w:t xml:space="preserve">corresponding to </w:t>
      </w:r>
      <w:r w:rsidR="00031D32" w:rsidRPr="00300E0A">
        <w:rPr>
          <w:rFonts w:asciiTheme="minorHAnsi" w:hAnsiTheme="minorHAnsi" w:cstheme="minorHAnsi"/>
        </w:rPr>
        <w:t xml:space="preserve">the basic objective </w:t>
      </w:r>
      <w:r w:rsidR="00787541" w:rsidRPr="00300E0A">
        <w:rPr>
          <w:rFonts w:asciiTheme="minorHAnsi" w:hAnsiTheme="minorHAnsi" w:cstheme="minorHAnsi"/>
        </w:rPr>
        <w:t>stated</w:t>
      </w:r>
      <w:r w:rsidR="00031D32" w:rsidRPr="00300E0A">
        <w:rPr>
          <w:rFonts w:asciiTheme="minorHAnsi" w:hAnsiTheme="minorHAnsi" w:cstheme="minorHAnsi"/>
        </w:rPr>
        <w:t xml:space="preserve"> in </w:t>
      </w:r>
      <w:r w:rsidR="005E2044" w:rsidRPr="00300E0A">
        <w:rPr>
          <w:rFonts w:asciiTheme="minorHAnsi" w:hAnsiTheme="minorHAnsi" w:cstheme="minorHAnsi"/>
        </w:rPr>
        <w:t xml:space="preserve">recital (70), the exceptions mentioned in Article </w:t>
      </w:r>
      <w:r w:rsidR="002B0180" w:rsidRPr="00300E0A">
        <w:rPr>
          <w:rFonts w:asciiTheme="minorHAnsi" w:hAnsiTheme="minorHAnsi" w:cstheme="minorHAnsi"/>
        </w:rPr>
        <w:t>1</w:t>
      </w:r>
      <w:r w:rsidR="005E2044" w:rsidRPr="00300E0A">
        <w:rPr>
          <w:rFonts w:asciiTheme="minorHAnsi" w:hAnsiTheme="minorHAnsi" w:cstheme="minorHAnsi"/>
        </w:rPr>
        <w:t>7(7) are to be applied in a duly balanced way; neither narrowly nor broadly</w:t>
      </w:r>
      <w:r w:rsidR="00FC3C49" w:rsidRPr="00300E0A">
        <w:rPr>
          <w:rFonts w:asciiTheme="minorHAnsi" w:hAnsiTheme="minorHAnsi" w:cstheme="minorHAnsi"/>
        </w:rPr>
        <w:t>;</w:t>
      </w:r>
      <w:r w:rsidR="005E2044" w:rsidRPr="00300E0A">
        <w:rPr>
          <w:rFonts w:asciiTheme="minorHAnsi" w:hAnsiTheme="minorHAnsi" w:cstheme="minorHAnsi"/>
        </w:rPr>
        <w:t xml:space="preserve"> adequately as prescribed </w:t>
      </w:r>
      <w:r w:rsidR="00FC3C49" w:rsidRPr="00300E0A">
        <w:rPr>
          <w:rFonts w:asciiTheme="minorHAnsi" w:hAnsiTheme="minorHAnsi" w:cstheme="minorHAnsi"/>
        </w:rPr>
        <w:t>in</w:t>
      </w:r>
      <w:r w:rsidR="005E2044" w:rsidRPr="00300E0A">
        <w:rPr>
          <w:rFonts w:asciiTheme="minorHAnsi" w:hAnsiTheme="minorHAnsi" w:cstheme="minorHAnsi"/>
        </w:rPr>
        <w:t xml:space="preserve"> the three-step test.</w:t>
      </w:r>
    </w:p>
    <w:p w14:paraId="2DA47FB7" w14:textId="77777777" w:rsidR="005E2044" w:rsidRPr="00300E0A" w:rsidRDefault="005E2044" w:rsidP="00300E0A">
      <w:pPr>
        <w:pStyle w:val="Alcm"/>
        <w:jc w:val="both"/>
        <w:rPr>
          <w:rFonts w:asciiTheme="minorHAnsi" w:hAnsiTheme="minorHAnsi" w:cstheme="minorHAnsi"/>
          <w:w w:val="105"/>
        </w:rPr>
      </w:pPr>
    </w:p>
    <w:p w14:paraId="1AC45192" w14:textId="6A4805F2" w:rsidR="001B7E8C" w:rsidRPr="00300E0A" w:rsidRDefault="005E2044" w:rsidP="00300E0A">
      <w:pPr>
        <w:pStyle w:val="Alcm"/>
        <w:jc w:val="both"/>
        <w:rPr>
          <w:rFonts w:asciiTheme="minorHAnsi" w:hAnsiTheme="minorHAnsi" w:cstheme="minorHAnsi"/>
        </w:rPr>
      </w:pPr>
      <w:r w:rsidRPr="00300E0A">
        <w:rPr>
          <w:rStyle w:val="AlcmChar"/>
          <w:rFonts w:asciiTheme="minorHAnsi" w:hAnsiTheme="minorHAnsi" w:cstheme="minorHAnsi"/>
        </w:rPr>
        <w:t>About the theory of “users’ rights”</w:t>
      </w:r>
      <w:r w:rsidR="00B54DD7" w:rsidRPr="00300E0A">
        <w:rPr>
          <w:rStyle w:val="AlcmChar"/>
          <w:rFonts w:asciiTheme="minorHAnsi" w:hAnsiTheme="minorHAnsi" w:cstheme="minorHAnsi"/>
        </w:rPr>
        <w:t>,</w:t>
      </w:r>
      <w:r w:rsidRPr="00300E0A">
        <w:rPr>
          <w:rStyle w:val="AlcmChar"/>
          <w:rFonts w:asciiTheme="minorHAnsi" w:hAnsiTheme="minorHAnsi" w:cstheme="minorHAnsi"/>
        </w:rPr>
        <w:t xml:space="preserve"> it should be pointed out that</w:t>
      </w:r>
      <w:r w:rsidR="0042575D" w:rsidRPr="00300E0A">
        <w:rPr>
          <w:rStyle w:val="AlcmChar"/>
          <w:rFonts w:asciiTheme="minorHAnsi" w:hAnsiTheme="minorHAnsi" w:cstheme="minorHAnsi"/>
        </w:rPr>
        <w:t>,</w:t>
      </w:r>
      <w:r w:rsidRPr="00300E0A">
        <w:rPr>
          <w:rStyle w:val="AlcmChar"/>
          <w:rFonts w:asciiTheme="minorHAnsi" w:hAnsiTheme="minorHAnsi" w:cstheme="minorHAnsi"/>
        </w:rPr>
        <w:t xml:space="preserve"> under the EU and international norms</w:t>
      </w:r>
      <w:r w:rsidR="00FC3C49" w:rsidRPr="00300E0A">
        <w:rPr>
          <w:rStyle w:val="AlcmChar"/>
          <w:rFonts w:asciiTheme="minorHAnsi" w:hAnsiTheme="minorHAnsi" w:cstheme="minorHAnsi"/>
        </w:rPr>
        <w:t xml:space="preserve"> (</w:t>
      </w:r>
      <w:r w:rsidRPr="00300E0A">
        <w:rPr>
          <w:rStyle w:val="AlcmChar"/>
          <w:rFonts w:asciiTheme="minorHAnsi" w:hAnsiTheme="minorHAnsi" w:cstheme="minorHAnsi"/>
        </w:rPr>
        <w:t>although</w:t>
      </w:r>
      <w:r w:rsidR="00FC3C49" w:rsidRPr="00300E0A">
        <w:rPr>
          <w:rStyle w:val="AlcmChar"/>
          <w:rFonts w:asciiTheme="minorHAnsi" w:hAnsiTheme="minorHAnsi" w:cstheme="minorHAnsi"/>
        </w:rPr>
        <w:t>,</w:t>
      </w:r>
      <w:r w:rsidRPr="00300E0A">
        <w:rPr>
          <w:rStyle w:val="AlcmChar"/>
          <w:rFonts w:asciiTheme="minorHAnsi" w:hAnsiTheme="minorHAnsi" w:cstheme="minorHAnsi"/>
        </w:rPr>
        <w:t xml:space="preserve"> for the provisions on exceptions and limitations, inter alia, the need for balancing with certain other rights, in particular with other human rights is the justification</w:t>
      </w:r>
      <w:r w:rsidR="00FC3C49" w:rsidRPr="00300E0A">
        <w:rPr>
          <w:rStyle w:val="AlcmChar"/>
          <w:rFonts w:asciiTheme="minorHAnsi" w:hAnsiTheme="minorHAnsi" w:cstheme="minorHAnsi"/>
        </w:rPr>
        <w:t>)</w:t>
      </w:r>
      <w:r w:rsidRPr="00300E0A">
        <w:rPr>
          <w:rStyle w:val="AlcmChar"/>
          <w:rFonts w:asciiTheme="minorHAnsi" w:hAnsiTheme="minorHAnsi" w:cstheme="minorHAnsi"/>
        </w:rPr>
        <w:t>, no</w:t>
      </w:r>
      <w:r w:rsidR="00FC3C49" w:rsidRPr="00300E0A">
        <w:rPr>
          <w:rStyle w:val="AlcmChar"/>
          <w:rFonts w:asciiTheme="minorHAnsi" w:hAnsiTheme="minorHAnsi" w:cstheme="minorHAnsi"/>
        </w:rPr>
        <w:t xml:space="preserve"> </w:t>
      </w:r>
      <w:r w:rsidR="008937D5" w:rsidRPr="00300E0A">
        <w:rPr>
          <w:rStyle w:val="AlcmChar"/>
          <w:rFonts w:asciiTheme="minorHAnsi" w:hAnsiTheme="minorHAnsi" w:cstheme="minorHAnsi"/>
        </w:rPr>
        <w:t xml:space="preserve">such </w:t>
      </w:r>
      <w:r w:rsidR="00FC3C49" w:rsidRPr="00300E0A">
        <w:rPr>
          <w:rStyle w:val="AlcmChar"/>
          <w:rFonts w:asciiTheme="minorHAnsi" w:hAnsiTheme="minorHAnsi" w:cstheme="minorHAnsi"/>
        </w:rPr>
        <w:t xml:space="preserve">kind of </w:t>
      </w:r>
      <w:r w:rsidRPr="00300E0A">
        <w:rPr>
          <w:rStyle w:val="AlcmChar"/>
          <w:rFonts w:asciiTheme="minorHAnsi" w:hAnsiTheme="minorHAnsi" w:cstheme="minorHAnsi"/>
        </w:rPr>
        <w:t>competing rights but permission</w:t>
      </w:r>
      <w:r w:rsidR="00CE4A6D" w:rsidRPr="00300E0A">
        <w:rPr>
          <w:rStyle w:val="AlcmChar"/>
          <w:rFonts w:asciiTheme="minorHAnsi" w:hAnsiTheme="minorHAnsi" w:cstheme="minorHAnsi"/>
        </w:rPr>
        <w:t>s</w:t>
      </w:r>
      <w:r w:rsidRPr="00300E0A">
        <w:rPr>
          <w:rStyle w:val="AlcmChar"/>
          <w:rFonts w:asciiTheme="minorHAnsi" w:hAnsiTheme="minorHAnsi" w:cstheme="minorHAnsi"/>
        </w:rPr>
        <w:t xml:space="preserve"> for the use of the works and objects of rights</w:t>
      </w:r>
      <w:r w:rsidR="00CE4A6D" w:rsidRPr="00300E0A">
        <w:rPr>
          <w:rStyle w:val="AlcmChar"/>
          <w:rFonts w:asciiTheme="minorHAnsi" w:hAnsiTheme="minorHAnsi" w:cstheme="minorHAnsi"/>
        </w:rPr>
        <w:t xml:space="preserve"> are granted </w:t>
      </w:r>
      <w:r w:rsidR="001B7E8C" w:rsidRPr="00300E0A">
        <w:rPr>
          <w:rStyle w:val="AlcmChar"/>
          <w:rFonts w:asciiTheme="minorHAnsi" w:hAnsiTheme="minorHAnsi" w:cstheme="minorHAnsi"/>
        </w:rPr>
        <w:t>in</w:t>
      </w:r>
      <w:r w:rsidR="00CE4A6D" w:rsidRPr="00300E0A">
        <w:rPr>
          <w:rStyle w:val="AlcmChar"/>
          <w:rFonts w:asciiTheme="minorHAnsi" w:hAnsiTheme="minorHAnsi" w:cstheme="minorHAnsi"/>
        </w:rPr>
        <w:t xml:space="preserve"> limited </w:t>
      </w:r>
      <w:r w:rsidR="001B7E8C" w:rsidRPr="00300E0A">
        <w:rPr>
          <w:rStyle w:val="AlcmChar"/>
          <w:rFonts w:asciiTheme="minorHAnsi" w:hAnsiTheme="minorHAnsi" w:cstheme="minorHAnsi"/>
        </w:rPr>
        <w:t xml:space="preserve">special cases as </w:t>
      </w:r>
      <w:r w:rsidR="00CE4A6D" w:rsidRPr="00300E0A">
        <w:rPr>
          <w:rStyle w:val="AlcmChar"/>
          <w:rFonts w:asciiTheme="minorHAnsi" w:hAnsiTheme="minorHAnsi" w:cstheme="minorHAnsi"/>
        </w:rPr>
        <w:t xml:space="preserve">exceptions to or limitations of copyright and related rights. </w:t>
      </w:r>
      <w:r w:rsidR="00FC3C49" w:rsidRPr="00300E0A">
        <w:rPr>
          <w:rStyle w:val="AlcmChar"/>
          <w:rFonts w:asciiTheme="minorHAnsi" w:hAnsiTheme="minorHAnsi" w:cstheme="minorHAnsi"/>
        </w:rPr>
        <w:t>It</w:t>
      </w:r>
      <w:r w:rsidR="001B7E8C" w:rsidRPr="00300E0A">
        <w:rPr>
          <w:rStyle w:val="AlcmChar"/>
          <w:rFonts w:asciiTheme="minorHAnsi" w:hAnsiTheme="minorHAnsi" w:cstheme="minorHAnsi"/>
        </w:rPr>
        <w:t xml:space="preserve"> becomes evident </w:t>
      </w:r>
      <w:r w:rsidR="00FC3C49" w:rsidRPr="00300E0A">
        <w:rPr>
          <w:rStyle w:val="AlcmChar"/>
          <w:rFonts w:asciiTheme="minorHAnsi" w:hAnsiTheme="minorHAnsi" w:cstheme="minorHAnsi"/>
        </w:rPr>
        <w:t xml:space="preserve">in view of </w:t>
      </w:r>
      <w:r w:rsidR="001B7E8C" w:rsidRPr="00300E0A">
        <w:rPr>
          <w:rStyle w:val="AlcmChar"/>
          <w:rFonts w:asciiTheme="minorHAnsi" w:hAnsiTheme="minorHAnsi" w:cstheme="minorHAnsi"/>
        </w:rPr>
        <w:t>the usual language of provisions on exceptions</w:t>
      </w:r>
      <w:r w:rsidR="00FC3C49" w:rsidRPr="00300E0A">
        <w:rPr>
          <w:rStyle w:val="AlcmChar"/>
          <w:rFonts w:asciiTheme="minorHAnsi" w:hAnsiTheme="minorHAnsi" w:cstheme="minorHAnsi"/>
        </w:rPr>
        <w:t>.</w:t>
      </w:r>
      <w:r w:rsidR="00FC3C49" w:rsidRPr="00300E0A">
        <w:rPr>
          <w:rFonts w:asciiTheme="minorHAnsi" w:hAnsiTheme="minorHAnsi" w:cstheme="minorHAnsi"/>
          <w:w w:val="105"/>
        </w:rPr>
        <w:t xml:space="preserve"> </w:t>
      </w:r>
      <w:r w:rsidR="00FC3C49" w:rsidRPr="00300E0A">
        <w:rPr>
          <w:rFonts w:asciiTheme="minorHAnsi" w:hAnsiTheme="minorHAnsi" w:cstheme="minorHAnsi"/>
        </w:rPr>
        <w:t>They</w:t>
      </w:r>
      <w:r w:rsidR="001B7E8C" w:rsidRPr="00300E0A">
        <w:rPr>
          <w:rFonts w:asciiTheme="minorHAnsi" w:hAnsiTheme="minorHAnsi" w:cstheme="minorHAnsi"/>
        </w:rPr>
        <w:t xml:space="preserve"> are worded as “it is permitted”, “it is allowed”, etc. and not as “it is a right…” of users. This is also the case in Article 10(1) of the Berne Convention on exceptions for quotations (which is </w:t>
      </w:r>
      <w:r w:rsidR="008937D5" w:rsidRPr="00300E0A">
        <w:rPr>
          <w:rFonts w:asciiTheme="minorHAnsi" w:hAnsiTheme="minorHAnsi" w:cstheme="minorHAnsi"/>
        </w:rPr>
        <w:t xml:space="preserve">the </w:t>
      </w:r>
      <w:r w:rsidR="001B7E8C" w:rsidRPr="00300E0A">
        <w:rPr>
          <w:rFonts w:asciiTheme="minorHAnsi" w:hAnsiTheme="minorHAnsi" w:cstheme="minorHAnsi"/>
        </w:rPr>
        <w:t>only provision on exceptions which is of a self-executive nature); it begins in this way: “It is permissible</w:t>
      </w:r>
      <w:r w:rsidR="00FC3C49" w:rsidRPr="00300E0A">
        <w:rPr>
          <w:rFonts w:asciiTheme="minorHAnsi" w:hAnsiTheme="minorHAnsi" w:cstheme="minorHAnsi"/>
        </w:rPr>
        <w:t>…</w:t>
      </w:r>
      <w:r w:rsidR="001B7E8C" w:rsidRPr="00300E0A">
        <w:rPr>
          <w:rFonts w:asciiTheme="minorHAnsi" w:hAnsiTheme="minorHAnsi" w:cstheme="minorHAnsi"/>
        </w:rPr>
        <w:t xml:space="preserve">” not </w:t>
      </w:r>
      <w:r w:rsidR="00FC3C49" w:rsidRPr="00300E0A">
        <w:rPr>
          <w:rFonts w:asciiTheme="minorHAnsi" w:hAnsiTheme="minorHAnsi" w:cstheme="minorHAnsi"/>
        </w:rPr>
        <w:t xml:space="preserve">in this way: “it is a right of users…” </w:t>
      </w:r>
    </w:p>
    <w:p w14:paraId="787A0974" w14:textId="77777777" w:rsidR="001B7E8C" w:rsidRPr="00300E0A" w:rsidRDefault="001B7E8C" w:rsidP="00300E0A">
      <w:pPr>
        <w:pStyle w:val="Alcm"/>
        <w:jc w:val="both"/>
        <w:rPr>
          <w:rFonts w:asciiTheme="minorHAnsi" w:hAnsiTheme="minorHAnsi" w:cstheme="minorHAnsi"/>
          <w:w w:val="105"/>
        </w:rPr>
      </w:pPr>
    </w:p>
    <w:p w14:paraId="7CC9A8EA" w14:textId="77777777" w:rsidR="009C3CBA" w:rsidRPr="00300E0A" w:rsidRDefault="001B7E8C" w:rsidP="00300E0A">
      <w:pPr>
        <w:pStyle w:val="Alcm"/>
        <w:jc w:val="both"/>
        <w:rPr>
          <w:rFonts w:asciiTheme="minorHAnsi" w:hAnsiTheme="minorHAnsi" w:cstheme="minorHAnsi"/>
        </w:rPr>
      </w:pPr>
      <w:r w:rsidRPr="00300E0A">
        <w:rPr>
          <w:rFonts w:asciiTheme="minorHAnsi" w:hAnsiTheme="minorHAnsi" w:cstheme="minorHAnsi"/>
        </w:rPr>
        <w:t xml:space="preserve">The fact that exceptions and limitations are not rights but permissions to use </w:t>
      </w:r>
      <w:r w:rsidR="00FC3C49" w:rsidRPr="00300E0A">
        <w:rPr>
          <w:rFonts w:asciiTheme="minorHAnsi" w:hAnsiTheme="minorHAnsi" w:cstheme="minorHAnsi"/>
        </w:rPr>
        <w:t xml:space="preserve">works and objects of related rights </w:t>
      </w:r>
      <w:r w:rsidRPr="00300E0A">
        <w:rPr>
          <w:rFonts w:asciiTheme="minorHAnsi" w:hAnsiTheme="minorHAnsi" w:cstheme="minorHAnsi"/>
        </w:rPr>
        <w:t xml:space="preserve">in limited special cases subject to certain conditions and always </w:t>
      </w:r>
      <w:r w:rsidR="00FC3C49" w:rsidRPr="00300E0A">
        <w:rPr>
          <w:rFonts w:asciiTheme="minorHAnsi" w:hAnsiTheme="minorHAnsi" w:cstheme="minorHAnsi"/>
        </w:rPr>
        <w:t xml:space="preserve">also </w:t>
      </w:r>
      <w:r w:rsidRPr="00300E0A">
        <w:rPr>
          <w:rFonts w:asciiTheme="minorHAnsi" w:hAnsiTheme="minorHAnsi" w:cstheme="minorHAnsi"/>
        </w:rPr>
        <w:t>to the three-step test (</w:t>
      </w:r>
      <w:r w:rsidR="009C3CBA" w:rsidRPr="00300E0A">
        <w:rPr>
          <w:rFonts w:asciiTheme="minorHAnsi" w:hAnsiTheme="minorHAnsi" w:cstheme="minorHAnsi"/>
        </w:rPr>
        <w:t xml:space="preserve">when already provided in the special cases in a law in accordance with the first step, at least to the second and third cumulative conditions of the step) does not change at all the conditions of their applicability. </w:t>
      </w:r>
    </w:p>
    <w:p w14:paraId="5F6209EC" w14:textId="77777777" w:rsidR="009C3CBA" w:rsidRDefault="009C3CBA" w:rsidP="00481A6C">
      <w:pPr>
        <w:tabs>
          <w:tab w:val="left" w:pos="284"/>
        </w:tabs>
        <w:autoSpaceDE w:val="0"/>
        <w:autoSpaceDN w:val="0"/>
        <w:jc w:val="both"/>
        <w:rPr>
          <w:rFonts w:asciiTheme="minorHAnsi" w:hAnsiTheme="minorHAnsi" w:cstheme="minorHAnsi"/>
          <w:w w:val="105"/>
          <w:sz w:val="24"/>
          <w:szCs w:val="24"/>
          <w:lang w:val="en-US"/>
        </w:rPr>
      </w:pPr>
    </w:p>
    <w:p w14:paraId="4F2398BF" w14:textId="6B4CBB3C" w:rsidR="001C3A84" w:rsidRPr="00497B03" w:rsidRDefault="009C3CBA" w:rsidP="001C3A84">
      <w:pPr>
        <w:tabs>
          <w:tab w:val="left" w:pos="284"/>
        </w:tabs>
        <w:autoSpaceDE w:val="0"/>
        <w:autoSpaceDN w:val="0"/>
        <w:jc w:val="both"/>
        <w:rPr>
          <w:rFonts w:asciiTheme="minorHAnsi" w:hAnsiTheme="minorHAnsi" w:cstheme="minorHAnsi"/>
          <w:sz w:val="24"/>
          <w:szCs w:val="24"/>
          <w:lang w:val="en-US"/>
        </w:rPr>
      </w:pPr>
      <w:r w:rsidRPr="00300E0A">
        <w:rPr>
          <w:rStyle w:val="AlcmChar"/>
          <w:rFonts w:asciiTheme="minorHAnsi" w:eastAsiaTheme="minorHAnsi" w:hAnsiTheme="minorHAnsi" w:cstheme="minorHAnsi"/>
        </w:rPr>
        <w:t xml:space="preserve">There is a country – Canada -- where, </w:t>
      </w:r>
      <w:r w:rsidR="00497B03" w:rsidRPr="00300E0A">
        <w:rPr>
          <w:rStyle w:val="AlcmChar"/>
          <w:rFonts w:asciiTheme="minorHAnsi" w:eastAsiaTheme="minorHAnsi" w:hAnsiTheme="minorHAnsi" w:cstheme="minorHAnsi"/>
        </w:rPr>
        <w:t xml:space="preserve">the </w:t>
      </w:r>
      <w:r w:rsidRPr="00300E0A">
        <w:rPr>
          <w:rStyle w:val="AlcmChar"/>
          <w:rFonts w:asciiTheme="minorHAnsi" w:eastAsiaTheme="minorHAnsi" w:hAnsiTheme="minorHAnsi" w:cstheme="minorHAnsi"/>
        </w:rPr>
        <w:t xml:space="preserve">theory of “users’ rights” </w:t>
      </w:r>
      <w:r w:rsidR="00497B03" w:rsidRPr="00300E0A">
        <w:rPr>
          <w:rStyle w:val="AlcmChar"/>
          <w:rFonts w:asciiTheme="minorHAnsi" w:eastAsiaTheme="minorHAnsi" w:hAnsiTheme="minorHAnsi" w:cstheme="minorHAnsi"/>
        </w:rPr>
        <w:t>to be applied broadly</w:t>
      </w:r>
      <w:r w:rsidR="00B8164A" w:rsidRPr="00300E0A">
        <w:rPr>
          <w:rStyle w:val="AlcmChar"/>
          <w:rFonts w:asciiTheme="minorHAnsi" w:eastAsiaTheme="minorHAnsi" w:hAnsiTheme="minorHAnsi" w:cstheme="minorHAnsi"/>
        </w:rPr>
        <w:t xml:space="preserve"> (in the Canadian version “in a large and liberal way”) </w:t>
      </w:r>
      <w:r w:rsidR="00497B03" w:rsidRPr="00300E0A">
        <w:rPr>
          <w:rStyle w:val="AlcmChar"/>
          <w:rFonts w:asciiTheme="minorHAnsi" w:eastAsiaTheme="minorHAnsi" w:hAnsiTheme="minorHAnsi" w:cstheme="minorHAnsi"/>
        </w:rPr>
        <w:t xml:space="preserve">as suggested in the Recommendations </w:t>
      </w:r>
      <w:r w:rsidR="00D14810">
        <w:rPr>
          <w:rStyle w:val="AlcmChar"/>
          <w:rFonts w:asciiTheme="minorHAnsi" w:eastAsiaTheme="minorHAnsi" w:hAnsiTheme="minorHAnsi" w:cstheme="minorHAnsi"/>
          <w:lang w:val="hu-HU"/>
        </w:rPr>
        <w:t xml:space="preserve">has been </w:t>
      </w:r>
      <w:r w:rsidRPr="00300E0A">
        <w:rPr>
          <w:rStyle w:val="AlcmChar"/>
          <w:rFonts w:asciiTheme="minorHAnsi" w:eastAsiaTheme="minorHAnsi" w:hAnsiTheme="minorHAnsi" w:cstheme="minorHAnsi"/>
        </w:rPr>
        <w:t xml:space="preserve">introduced through the case </w:t>
      </w:r>
      <w:r w:rsidR="001C3A84" w:rsidRPr="00300E0A">
        <w:rPr>
          <w:rStyle w:val="AlcmChar"/>
          <w:rFonts w:asciiTheme="minorHAnsi" w:eastAsiaTheme="minorHAnsi" w:hAnsiTheme="minorHAnsi" w:cstheme="minorHAnsi"/>
        </w:rPr>
        <w:t xml:space="preserve">law </w:t>
      </w:r>
      <w:r w:rsidRPr="00300E0A">
        <w:rPr>
          <w:rStyle w:val="AlcmChar"/>
          <w:rFonts w:asciiTheme="minorHAnsi" w:eastAsiaTheme="minorHAnsi" w:hAnsiTheme="minorHAnsi" w:cstheme="minorHAnsi"/>
        </w:rPr>
        <w:t xml:space="preserve">of the Supreme Court. </w:t>
      </w:r>
      <w:r w:rsidR="0078581D">
        <w:rPr>
          <w:rStyle w:val="AlcmChar"/>
          <w:rFonts w:asciiTheme="minorHAnsi" w:eastAsiaTheme="minorHAnsi" w:hAnsiTheme="minorHAnsi" w:cstheme="minorHAnsi"/>
          <w:lang w:val="hu-HU"/>
        </w:rPr>
        <w:t>It may be</w:t>
      </w:r>
      <w:r w:rsidR="00D14810">
        <w:rPr>
          <w:rStyle w:val="AlcmChar"/>
          <w:rFonts w:asciiTheme="minorHAnsi" w:eastAsiaTheme="minorHAnsi" w:hAnsiTheme="minorHAnsi" w:cstheme="minorHAnsi"/>
          <w:lang w:val="hu-HU"/>
        </w:rPr>
        <w:t xml:space="preserve"> the</w:t>
      </w:r>
      <w:r w:rsidR="0078581D">
        <w:rPr>
          <w:rStyle w:val="AlcmChar"/>
          <w:rFonts w:asciiTheme="minorHAnsi" w:eastAsiaTheme="minorHAnsi" w:hAnsiTheme="minorHAnsi" w:cstheme="minorHAnsi"/>
          <w:lang w:val="hu-HU"/>
        </w:rPr>
        <w:t xml:space="preserve"> source of </w:t>
      </w:r>
      <w:r w:rsidR="00D14810">
        <w:rPr>
          <w:rStyle w:val="AlcmChar"/>
          <w:rFonts w:asciiTheme="minorHAnsi" w:eastAsiaTheme="minorHAnsi" w:hAnsiTheme="minorHAnsi" w:cstheme="minorHAnsi"/>
          <w:lang w:val="hu-HU"/>
        </w:rPr>
        <w:t xml:space="preserve">inspiration for the drafters, it seems worthwhile reviewing how this happened and why it is not justified to apply this ideology-routed model. </w:t>
      </w:r>
      <w:r w:rsidR="001C3A84" w:rsidRPr="00300E0A">
        <w:rPr>
          <w:rStyle w:val="AlcmChar"/>
          <w:rFonts w:asciiTheme="minorHAnsi" w:eastAsiaTheme="minorHAnsi" w:hAnsiTheme="minorHAnsi" w:cstheme="minorHAnsi"/>
        </w:rPr>
        <w:t>Since I</w:t>
      </w:r>
      <w:r w:rsidR="001C3A84" w:rsidRPr="00497B03">
        <w:rPr>
          <w:rFonts w:asciiTheme="minorHAnsi" w:hAnsiTheme="minorHAnsi" w:cstheme="minorHAnsi"/>
          <w:sz w:val="24"/>
          <w:szCs w:val="24"/>
          <w:lang w:val="en-US"/>
        </w:rPr>
        <w:t xml:space="preserve"> had acted as a member of </w:t>
      </w:r>
      <w:r w:rsidR="00FC3C49">
        <w:rPr>
          <w:rFonts w:asciiTheme="minorHAnsi" w:hAnsiTheme="minorHAnsi" w:cstheme="minorHAnsi"/>
          <w:sz w:val="24"/>
          <w:szCs w:val="24"/>
          <w:lang w:val="en-US"/>
        </w:rPr>
        <w:t xml:space="preserve">the </w:t>
      </w:r>
      <w:r w:rsidR="001C3A84" w:rsidRPr="00497B03">
        <w:rPr>
          <w:rFonts w:asciiTheme="minorHAnsi" w:hAnsiTheme="minorHAnsi" w:cstheme="minorHAnsi"/>
          <w:sz w:val="24"/>
          <w:szCs w:val="24"/>
          <w:lang w:val="en-US"/>
        </w:rPr>
        <w:t>WTO panel which interpreted the three-step test for the first time in 2000 (in its version for patent</w:t>
      </w:r>
      <w:r w:rsidR="00D14810">
        <w:rPr>
          <w:rFonts w:asciiTheme="minorHAnsi" w:hAnsiTheme="minorHAnsi" w:cstheme="minorHAnsi"/>
          <w:sz w:val="24"/>
          <w:szCs w:val="24"/>
          <w:lang w:val="en-US"/>
        </w:rPr>
        <w:t xml:space="preserve"> rights </w:t>
      </w:r>
      <w:r w:rsidR="001C3A84" w:rsidRPr="00497B03">
        <w:rPr>
          <w:rFonts w:asciiTheme="minorHAnsi" w:hAnsiTheme="minorHAnsi" w:cstheme="minorHAnsi"/>
          <w:sz w:val="24"/>
          <w:szCs w:val="24"/>
          <w:lang w:val="en-US"/>
        </w:rPr>
        <w:t>provided in Article 30 of the TRIPs Agreement) in a dispute between the European Communities and Canada in an important patent case</w:t>
      </w:r>
      <w:r w:rsidR="001C3A84" w:rsidRPr="00497B03">
        <w:rPr>
          <w:rStyle w:val="Lbjegyzet-hivatkozs"/>
          <w:rFonts w:asciiTheme="minorHAnsi" w:hAnsiTheme="minorHAnsi" w:cstheme="minorHAnsi"/>
          <w:sz w:val="24"/>
          <w:szCs w:val="24"/>
          <w:lang w:val="en-US"/>
        </w:rPr>
        <w:footnoteReference w:id="20"/>
      </w:r>
      <w:r w:rsidR="001C3A84" w:rsidRPr="00497B03">
        <w:rPr>
          <w:rFonts w:asciiTheme="minorHAnsi" w:hAnsiTheme="minorHAnsi" w:cstheme="minorHAnsi"/>
          <w:sz w:val="24"/>
          <w:szCs w:val="24"/>
          <w:lang w:val="en-US"/>
        </w:rPr>
        <w:t>, I kept following the legislative and case law developments in th</w:t>
      </w:r>
      <w:r w:rsidR="00FC3C49">
        <w:rPr>
          <w:rFonts w:asciiTheme="minorHAnsi" w:hAnsiTheme="minorHAnsi" w:cstheme="minorHAnsi"/>
          <w:sz w:val="24"/>
          <w:szCs w:val="24"/>
          <w:lang w:val="en-US"/>
        </w:rPr>
        <w:t>at</w:t>
      </w:r>
      <w:r w:rsidR="001C3A84" w:rsidRPr="00497B03">
        <w:rPr>
          <w:rFonts w:asciiTheme="minorHAnsi" w:hAnsiTheme="minorHAnsi" w:cstheme="minorHAnsi"/>
          <w:sz w:val="24"/>
          <w:szCs w:val="24"/>
          <w:lang w:val="en-US"/>
        </w:rPr>
        <w:t xml:space="preserve"> country with interest. Th</w:t>
      </w:r>
      <w:r w:rsidR="00FC3C49">
        <w:rPr>
          <w:rFonts w:asciiTheme="minorHAnsi" w:hAnsiTheme="minorHAnsi" w:cstheme="minorHAnsi"/>
          <w:sz w:val="24"/>
          <w:szCs w:val="24"/>
          <w:lang w:val="en-US"/>
        </w:rPr>
        <w:t>us</w:t>
      </w:r>
      <w:r w:rsidR="001C3A84" w:rsidRPr="00497B03">
        <w:rPr>
          <w:rFonts w:asciiTheme="minorHAnsi" w:hAnsiTheme="minorHAnsi" w:cstheme="minorHAnsi"/>
          <w:sz w:val="24"/>
          <w:szCs w:val="24"/>
          <w:lang w:val="en-US"/>
        </w:rPr>
        <w:t xml:space="preserve">, I had also noted the developments </w:t>
      </w:r>
      <w:r w:rsidR="00FC3C49">
        <w:rPr>
          <w:rFonts w:asciiTheme="minorHAnsi" w:hAnsiTheme="minorHAnsi" w:cstheme="minorHAnsi"/>
          <w:sz w:val="24"/>
          <w:szCs w:val="24"/>
          <w:lang w:val="en-US"/>
        </w:rPr>
        <w:t>c</w:t>
      </w:r>
      <w:r w:rsidR="001C3A84" w:rsidRPr="00497B03">
        <w:rPr>
          <w:rFonts w:asciiTheme="minorHAnsi" w:hAnsiTheme="minorHAnsi" w:cstheme="minorHAnsi"/>
          <w:sz w:val="24"/>
          <w:szCs w:val="24"/>
          <w:lang w:val="en-US"/>
        </w:rPr>
        <w:t>on</w:t>
      </w:r>
      <w:r w:rsidR="00FC3C49">
        <w:rPr>
          <w:rFonts w:asciiTheme="minorHAnsi" w:hAnsiTheme="minorHAnsi" w:cstheme="minorHAnsi"/>
          <w:sz w:val="24"/>
          <w:szCs w:val="24"/>
          <w:lang w:val="en-US"/>
        </w:rPr>
        <w:t xml:space="preserve">cerning </w:t>
      </w:r>
      <w:r w:rsidR="001C3A84" w:rsidRPr="00497B03">
        <w:rPr>
          <w:rFonts w:asciiTheme="minorHAnsi" w:hAnsiTheme="minorHAnsi" w:cstheme="minorHAnsi"/>
          <w:sz w:val="24"/>
          <w:szCs w:val="24"/>
          <w:lang w:val="en-US"/>
        </w:rPr>
        <w:t xml:space="preserve">exceptions and limitations </w:t>
      </w:r>
      <w:r w:rsidR="00FC3C49">
        <w:rPr>
          <w:rFonts w:asciiTheme="minorHAnsi" w:hAnsiTheme="minorHAnsi" w:cstheme="minorHAnsi"/>
          <w:sz w:val="24"/>
          <w:szCs w:val="24"/>
          <w:lang w:val="en-US"/>
        </w:rPr>
        <w:t xml:space="preserve">leading to </w:t>
      </w:r>
      <w:r w:rsidR="001C3A84" w:rsidRPr="00497B03">
        <w:rPr>
          <w:rFonts w:asciiTheme="minorHAnsi" w:hAnsiTheme="minorHAnsi" w:cstheme="minorHAnsi"/>
          <w:sz w:val="24"/>
          <w:szCs w:val="24"/>
          <w:lang w:val="en-US"/>
        </w:rPr>
        <w:t xml:space="preserve">the introduction of the </w:t>
      </w:r>
      <w:r w:rsidR="00D14810">
        <w:rPr>
          <w:rFonts w:asciiTheme="minorHAnsi" w:hAnsiTheme="minorHAnsi" w:cstheme="minorHAnsi"/>
          <w:sz w:val="24"/>
          <w:szCs w:val="24"/>
          <w:lang w:val="en-US"/>
        </w:rPr>
        <w:t xml:space="preserve">theory of “users’ rights”. </w:t>
      </w:r>
      <w:r w:rsidR="00B27571" w:rsidRPr="00497B03">
        <w:rPr>
          <w:rFonts w:asciiTheme="minorHAnsi" w:hAnsiTheme="minorHAnsi" w:cstheme="minorHAnsi"/>
          <w:sz w:val="24"/>
          <w:szCs w:val="24"/>
          <w:lang w:val="en-US"/>
        </w:rPr>
        <w:t xml:space="preserve">  </w:t>
      </w:r>
      <w:r w:rsidR="001C3A84" w:rsidRPr="00497B03">
        <w:rPr>
          <w:rFonts w:asciiTheme="minorHAnsi" w:hAnsiTheme="minorHAnsi" w:cstheme="minorHAnsi"/>
          <w:sz w:val="24"/>
          <w:szCs w:val="24"/>
          <w:lang w:val="en-US"/>
        </w:rPr>
        <w:t xml:space="preserve">       </w:t>
      </w:r>
    </w:p>
    <w:p w14:paraId="23A7B473" w14:textId="77777777" w:rsidR="001C3A84" w:rsidRPr="00497B03" w:rsidRDefault="001C3A84" w:rsidP="001C3A84">
      <w:pPr>
        <w:jc w:val="both"/>
        <w:rPr>
          <w:rFonts w:asciiTheme="minorHAnsi" w:hAnsiTheme="minorHAnsi" w:cstheme="minorHAnsi"/>
          <w:sz w:val="24"/>
          <w:szCs w:val="24"/>
          <w:lang w:val="en-US"/>
        </w:rPr>
      </w:pPr>
    </w:p>
    <w:p w14:paraId="73C26A2E" w14:textId="681916C3" w:rsidR="00497B03" w:rsidRDefault="001C3A84" w:rsidP="00B8164A">
      <w:pPr>
        <w:jc w:val="both"/>
        <w:rPr>
          <w:rFonts w:asciiTheme="minorHAnsi" w:hAnsiTheme="minorHAnsi" w:cstheme="minorHAnsi"/>
          <w:sz w:val="24"/>
          <w:szCs w:val="24"/>
          <w:lang w:val="en-US"/>
        </w:rPr>
      </w:pPr>
      <w:r w:rsidRPr="00497B03">
        <w:rPr>
          <w:rFonts w:asciiTheme="minorHAnsi" w:hAnsiTheme="minorHAnsi" w:cstheme="minorHAnsi"/>
          <w:sz w:val="24"/>
          <w:szCs w:val="24"/>
          <w:lang w:val="en-US"/>
        </w:rPr>
        <w:t>In the 2000 patent case, our panel found more in favor of Canada and only partly against it. I noted that</w:t>
      </w:r>
      <w:r w:rsidR="0042575D">
        <w:rPr>
          <w:rFonts w:asciiTheme="minorHAnsi" w:hAnsiTheme="minorHAnsi" w:cstheme="minorHAnsi"/>
          <w:sz w:val="24"/>
          <w:szCs w:val="24"/>
          <w:lang w:val="en-US"/>
        </w:rPr>
        <w:t>,</w:t>
      </w:r>
      <w:r w:rsidRPr="00497B03">
        <w:rPr>
          <w:rFonts w:asciiTheme="minorHAnsi" w:hAnsiTheme="minorHAnsi" w:cstheme="minorHAnsi"/>
          <w:sz w:val="24"/>
          <w:szCs w:val="24"/>
          <w:lang w:val="en-US"/>
        </w:rPr>
        <w:t xml:space="preserve"> if a WTO Member </w:t>
      </w:r>
      <w:r w:rsidR="00B27571" w:rsidRPr="00497B03">
        <w:rPr>
          <w:rFonts w:asciiTheme="minorHAnsi" w:hAnsiTheme="minorHAnsi" w:cstheme="minorHAnsi"/>
          <w:sz w:val="24"/>
          <w:szCs w:val="24"/>
          <w:lang w:val="en-US"/>
        </w:rPr>
        <w:t xml:space="preserve">had </w:t>
      </w:r>
      <w:r w:rsidRPr="00497B03">
        <w:rPr>
          <w:rFonts w:asciiTheme="minorHAnsi" w:hAnsiTheme="minorHAnsi" w:cstheme="minorHAnsi"/>
          <w:sz w:val="24"/>
          <w:szCs w:val="24"/>
          <w:lang w:val="en-US"/>
        </w:rPr>
        <w:t>initiated a dispute settlement procedure claiming that the educational exceptions in Canadian copyright law based on the theory of “users</w:t>
      </w:r>
      <w:r w:rsidR="00B27571" w:rsidRPr="00497B03">
        <w:rPr>
          <w:rFonts w:asciiTheme="minorHAnsi" w:hAnsiTheme="minorHAnsi" w:cstheme="minorHAnsi"/>
          <w:sz w:val="24"/>
          <w:szCs w:val="24"/>
          <w:lang w:val="en-US"/>
        </w:rPr>
        <w:t>’</w:t>
      </w:r>
      <w:r w:rsidRPr="00497B03">
        <w:rPr>
          <w:rFonts w:asciiTheme="minorHAnsi" w:hAnsiTheme="minorHAnsi" w:cstheme="minorHAnsi"/>
          <w:sz w:val="24"/>
          <w:szCs w:val="24"/>
          <w:lang w:val="en-US"/>
        </w:rPr>
        <w:t xml:space="preserve"> rights” </w:t>
      </w:r>
      <w:r w:rsidR="00B27571" w:rsidRPr="00497B03">
        <w:rPr>
          <w:rFonts w:asciiTheme="minorHAnsi" w:hAnsiTheme="minorHAnsi" w:cstheme="minorHAnsi"/>
          <w:sz w:val="24"/>
          <w:szCs w:val="24"/>
          <w:lang w:val="en-US"/>
        </w:rPr>
        <w:t xml:space="preserve">to be applied </w:t>
      </w:r>
      <w:r w:rsidR="00B8164A">
        <w:rPr>
          <w:rFonts w:asciiTheme="minorHAnsi" w:hAnsiTheme="minorHAnsi" w:cstheme="minorHAnsi"/>
          <w:sz w:val="24"/>
          <w:szCs w:val="24"/>
          <w:lang w:val="en-US"/>
        </w:rPr>
        <w:t xml:space="preserve">broadly (in a “large and liberal way”) </w:t>
      </w:r>
      <w:r w:rsidR="00D44180">
        <w:rPr>
          <w:rFonts w:asciiTheme="minorHAnsi" w:hAnsiTheme="minorHAnsi" w:cstheme="minorHAnsi"/>
          <w:sz w:val="24"/>
          <w:szCs w:val="24"/>
          <w:lang w:val="en-US"/>
        </w:rPr>
        <w:t>w</w:t>
      </w:r>
      <w:r w:rsidR="0042575D">
        <w:rPr>
          <w:rFonts w:asciiTheme="minorHAnsi" w:hAnsiTheme="minorHAnsi" w:cstheme="minorHAnsi"/>
          <w:sz w:val="24"/>
          <w:szCs w:val="24"/>
          <w:lang w:val="en-US"/>
        </w:rPr>
        <w:t>as</w:t>
      </w:r>
      <w:r w:rsidR="00D44180">
        <w:rPr>
          <w:rFonts w:asciiTheme="minorHAnsi" w:hAnsiTheme="minorHAnsi" w:cstheme="minorHAnsi"/>
          <w:sz w:val="24"/>
          <w:szCs w:val="24"/>
          <w:lang w:val="en-US"/>
        </w:rPr>
        <w:t xml:space="preserve"> </w:t>
      </w:r>
      <w:r w:rsidRPr="00497B03">
        <w:rPr>
          <w:rFonts w:asciiTheme="minorHAnsi" w:hAnsiTheme="minorHAnsi" w:cstheme="minorHAnsi"/>
          <w:sz w:val="24"/>
          <w:szCs w:val="24"/>
          <w:lang w:val="en-US"/>
        </w:rPr>
        <w:t xml:space="preserve">not in accordance with the TRIPs Agreement, the findings of a panel probably would </w:t>
      </w:r>
      <w:r w:rsidR="00B27571" w:rsidRPr="00497B03">
        <w:rPr>
          <w:rFonts w:asciiTheme="minorHAnsi" w:hAnsiTheme="minorHAnsi" w:cstheme="minorHAnsi"/>
          <w:sz w:val="24"/>
          <w:szCs w:val="24"/>
          <w:lang w:val="en-US"/>
        </w:rPr>
        <w:t xml:space="preserve">have </w:t>
      </w:r>
      <w:r w:rsidRPr="00497B03">
        <w:rPr>
          <w:rFonts w:asciiTheme="minorHAnsi" w:hAnsiTheme="minorHAnsi" w:cstheme="minorHAnsi"/>
          <w:sz w:val="24"/>
          <w:szCs w:val="24"/>
          <w:lang w:val="en-US"/>
        </w:rPr>
        <w:t>be</w:t>
      </w:r>
      <w:r w:rsidR="00B27571" w:rsidRPr="00497B03">
        <w:rPr>
          <w:rFonts w:asciiTheme="minorHAnsi" w:hAnsiTheme="minorHAnsi" w:cstheme="minorHAnsi"/>
          <w:sz w:val="24"/>
          <w:szCs w:val="24"/>
          <w:lang w:val="en-US"/>
        </w:rPr>
        <w:t>en</w:t>
      </w:r>
      <w:r w:rsidRPr="00497B03">
        <w:rPr>
          <w:rFonts w:asciiTheme="minorHAnsi" w:hAnsiTheme="minorHAnsi" w:cstheme="minorHAnsi"/>
          <w:sz w:val="24"/>
          <w:szCs w:val="24"/>
          <w:lang w:val="en-US"/>
        </w:rPr>
        <w:t xml:space="preserve"> much less favorable from the viewpoint of Canada. I expressed this opinion pointing out the conflicts </w:t>
      </w:r>
      <w:r w:rsidR="00B27571" w:rsidRPr="00497B03">
        <w:rPr>
          <w:rFonts w:asciiTheme="minorHAnsi" w:hAnsiTheme="minorHAnsi" w:cstheme="minorHAnsi"/>
          <w:sz w:val="24"/>
          <w:szCs w:val="24"/>
          <w:lang w:val="en-US"/>
        </w:rPr>
        <w:t xml:space="preserve">of this theory </w:t>
      </w:r>
      <w:r w:rsidRPr="00497B03">
        <w:rPr>
          <w:rFonts w:asciiTheme="minorHAnsi" w:hAnsiTheme="minorHAnsi" w:cstheme="minorHAnsi"/>
          <w:sz w:val="24"/>
          <w:szCs w:val="24"/>
          <w:lang w:val="en-US"/>
        </w:rPr>
        <w:t>with the three-step test in a paper entitled</w:t>
      </w:r>
      <w:r w:rsidR="00B27571" w:rsidRPr="00497B03">
        <w:rPr>
          <w:rFonts w:asciiTheme="minorHAnsi" w:hAnsiTheme="minorHAnsi" w:cstheme="minorHAnsi"/>
          <w:sz w:val="24"/>
          <w:szCs w:val="24"/>
          <w:lang w:val="en-US"/>
        </w:rPr>
        <w:t xml:space="preserve"> </w:t>
      </w:r>
      <w:r w:rsidR="00B8164A">
        <w:rPr>
          <w:rFonts w:asciiTheme="minorHAnsi" w:hAnsiTheme="minorHAnsi" w:cstheme="minorHAnsi"/>
          <w:sz w:val="24"/>
          <w:szCs w:val="24"/>
          <w:lang w:val="en-US"/>
        </w:rPr>
        <w:t>“</w:t>
      </w:r>
      <w:r w:rsidR="00B8164A" w:rsidRPr="00B8164A">
        <w:rPr>
          <w:rFonts w:asciiTheme="minorHAnsi" w:hAnsiTheme="minorHAnsi" w:cstheme="minorHAnsi"/>
          <w:sz w:val="24"/>
          <w:szCs w:val="24"/>
          <w:lang w:val="en-US"/>
        </w:rPr>
        <w:t>Conflict of the Canadian legislation and case law on fair dealing for educational purposes with the international norms, in particular with the three-step test</w:t>
      </w:r>
      <w:r w:rsidR="00B8164A">
        <w:rPr>
          <w:rFonts w:asciiTheme="minorHAnsi" w:hAnsiTheme="minorHAnsi" w:cstheme="minorHAnsi"/>
          <w:sz w:val="24"/>
          <w:szCs w:val="24"/>
          <w:lang w:val="en-US"/>
        </w:rPr>
        <w:t xml:space="preserve">” </w:t>
      </w:r>
      <w:r w:rsidR="00B27571" w:rsidRPr="00497B03">
        <w:rPr>
          <w:rFonts w:asciiTheme="minorHAnsi" w:hAnsiTheme="minorHAnsi" w:cstheme="minorHAnsi"/>
          <w:sz w:val="24"/>
          <w:szCs w:val="24"/>
          <w:lang w:val="en-US"/>
        </w:rPr>
        <w:t xml:space="preserve">and published </w:t>
      </w:r>
      <w:r w:rsidR="00871DD4">
        <w:rPr>
          <w:rFonts w:asciiTheme="minorHAnsi" w:hAnsiTheme="minorHAnsi" w:cstheme="minorHAnsi"/>
          <w:sz w:val="24"/>
          <w:szCs w:val="24"/>
          <w:lang w:val="en-US"/>
        </w:rPr>
        <w:t xml:space="preserve">it </w:t>
      </w:r>
      <w:r w:rsidR="00B27571" w:rsidRPr="00497B03">
        <w:rPr>
          <w:rFonts w:asciiTheme="minorHAnsi" w:hAnsiTheme="minorHAnsi" w:cstheme="minorHAnsi"/>
          <w:sz w:val="24"/>
          <w:szCs w:val="24"/>
          <w:lang w:val="en-US"/>
        </w:rPr>
        <w:t xml:space="preserve">on my website </w:t>
      </w:r>
      <w:hyperlink r:id="rId16" w:history="1">
        <w:r w:rsidR="00B27571" w:rsidRPr="00497B03">
          <w:rPr>
            <w:rStyle w:val="Hiperhivatkozs"/>
            <w:rFonts w:asciiTheme="minorHAnsi" w:hAnsiTheme="minorHAnsi" w:cstheme="minorHAnsi"/>
            <w:color w:val="auto"/>
            <w:sz w:val="24"/>
            <w:szCs w:val="24"/>
            <w:u w:val="none"/>
            <w:lang w:val="en-US"/>
          </w:rPr>
          <w:t>www.copyrightseesaw.net</w:t>
        </w:r>
      </w:hyperlink>
      <w:r w:rsidR="00B27571" w:rsidRPr="00497B03">
        <w:rPr>
          <w:rFonts w:asciiTheme="minorHAnsi" w:hAnsiTheme="minorHAnsi" w:cstheme="minorHAnsi"/>
          <w:sz w:val="24"/>
          <w:szCs w:val="24"/>
          <w:lang w:val="en-US"/>
        </w:rPr>
        <w:t xml:space="preserve">. </w:t>
      </w:r>
    </w:p>
    <w:p w14:paraId="04704EB7" w14:textId="77777777" w:rsidR="00B8164A" w:rsidRDefault="00B8164A" w:rsidP="00B8164A">
      <w:pPr>
        <w:jc w:val="both"/>
        <w:rPr>
          <w:rFonts w:asciiTheme="minorHAnsi" w:hAnsiTheme="minorHAnsi" w:cstheme="minorHAnsi"/>
          <w:sz w:val="24"/>
          <w:szCs w:val="24"/>
          <w:lang w:val="en-US"/>
        </w:rPr>
      </w:pPr>
    </w:p>
    <w:p w14:paraId="63887A73" w14:textId="082685BA" w:rsidR="00B8164A" w:rsidRPr="00497B03" w:rsidRDefault="00B8164A" w:rsidP="00B8164A">
      <w:pPr>
        <w:jc w:val="both"/>
        <w:rPr>
          <w:rFonts w:asciiTheme="minorHAnsi" w:hAnsiTheme="minorHAnsi" w:cstheme="minorHAnsi"/>
          <w:sz w:val="24"/>
          <w:szCs w:val="24"/>
          <w:lang w:val="en-US"/>
        </w:rPr>
      </w:pPr>
      <w:r>
        <w:rPr>
          <w:rFonts w:asciiTheme="minorHAnsi" w:hAnsiTheme="minorHAnsi" w:cstheme="minorHAnsi"/>
          <w:sz w:val="24"/>
          <w:szCs w:val="24"/>
          <w:lang w:val="en-US"/>
        </w:rPr>
        <w:t xml:space="preserve">The paper is </w:t>
      </w:r>
      <w:r w:rsidR="007B42A6" w:rsidRPr="00481C19">
        <w:rPr>
          <w:rFonts w:asciiTheme="minorHAnsi" w:hAnsiTheme="minorHAnsi" w:cstheme="minorHAnsi"/>
          <w:sz w:val="24"/>
          <w:szCs w:val="24"/>
          <w:lang w:val="en-US"/>
        </w:rPr>
        <w:t>76-</w:t>
      </w:r>
      <w:r w:rsidRPr="00481C19">
        <w:rPr>
          <w:rFonts w:asciiTheme="minorHAnsi" w:hAnsiTheme="minorHAnsi" w:cstheme="minorHAnsi"/>
          <w:sz w:val="24"/>
          <w:szCs w:val="24"/>
          <w:lang w:val="en-US"/>
        </w:rPr>
        <w:t xml:space="preserve">page-long </w:t>
      </w:r>
      <w:r>
        <w:rPr>
          <w:rFonts w:asciiTheme="minorHAnsi" w:hAnsiTheme="minorHAnsi" w:cstheme="minorHAnsi"/>
          <w:sz w:val="24"/>
          <w:szCs w:val="24"/>
          <w:lang w:val="en-US"/>
        </w:rPr>
        <w:t>as published</w:t>
      </w:r>
      <w:r w:rsidR="007B42A6">
        <w:rPr>
          <w:rFonts w:asciiTheme="minorHAnsi" w:hAnsiTheme="minorHAnsi" w:cstheme="minorHAnsi"/>
          <w:sz w:val="24"/>
          <w:szCs w:val="24"/>
          <w:lang w:val="en-US"/>
        </w:rPr>
        <w:t>, but at the beginning, there is an executive summary</w:t>
      </w:r>
      <w:r w:rsidR="00D14810">
        <w:rPr>
          <w:rFonts w:asciiTheme="minorHAnsi" w:hAnsiTheme="minorHAnsi" w:cstheme="minorHAnsi"/>
          <w:sz w:val="24"/>
          <w:szCs w:val="24"/>
          <w:lang w:val="en-US"/>
        </w:rPr>
        <w:t xml:space="preserve">. </w:t>
      </w:r>
      <w:r w:rsidR="003F076E">
        <w:rPr>
          <w:rFonts w:asciiTheme="minorHAnsi" w:hAnsiTheme="minorHAnsi" w:cstheme="minorHAnsi"/>
          <w:sz w:val="24"/>
          <w:szCs w:val="24"/>
          <w:lang w:val="en-US"/>
        </w:rPr>
        <w:t xml:space="preserve">I quote those points of the summary which relate mainly to the </w:t>
      </w:r>
      <w:r w:rsidR="007B42A6">
        <w:rPr>
          <w:rFonts w:asciiTheme="minorHAnsi" w:hAnsiTheme="minorHAnsi" w:cstheme="minorHAnsi"/>
          <w:sz w:val="24"/>
          <w:szCs w:val="24"/>
          <w:lang w:val="en-US"/>
        </w:rPr>
        <w:t xml:space="preserve">emergence of the </w:t>
      </w:r>
      <w:r w:rsidR="003F076E">
        <w:rPr>
          <w:rFonts w:asciiTheme="minorHAnsi" w:hAnsiTheme="minorHAnsi" w:cstheme="minorHAnsi"/>
          <w:sz w:val="24"/>
          <w:szCs w:val="24"/>
          <w:lang w:val="en-US"/>
        </w:rPr>
        <w:t>“users’ rights”</w:t>
      </w:r>
      <w:r w:rsidR="00D14810">
        <w:rPr>
          <w:rFonts w:asciiTheme="minorHAnsi" w:hAnsiTheme="minorHAnsi" w:cstheme="minorHAnsi"/>
          <w:sz w:val="24"/>
          <w:szCs w:val="24"/>
          <w:lang w:val="en-US"/>
        </w:rPr>
        <w:t xml:space="preserve">. It has turned out that </w:t>
      </w:r>
      <w:r w:rsidR="00B01003">
        <w:rPr>
          <w:rFonts w:asciiTheme="minorHAnsi" w:hAnsiTheme="minorHAnsi" w:cstheme="minorHAnsi"/>
          <w:sz w:val="24"/>
          <w:szCs w:val="24"/>
          <w:lang w:val="en-US"/>
        </w:rPr>
        <w:t xml:space="preserve">it </w:t>
      </w:r>
      <w:r w:rsidR="001D61F5">
        <w:rPr>
          <w:rFonts w:asciiTheme="minorHAnsi" w:hAnsiTheme="minorHAnsi" w:cstheme="minorHAnsi"/>
          <w:sz w:val="24"/>
          <w:szCs w:val="24"/>
          <w:lang w:val="en-US"/>
        </w:rPr>
        <w:t xml:space="preserve">was based exclusively on a remark in </w:t>
      </w:r>
      <w:r w:rsidR="00A8306E">
        <w:rPr>
          <w:rFonts w:asciiTheme="minorHAnsi" w:hAnsiTheme="minorHAnsi" w:cstheme="minorHAnsi"/>
          <w:sz w:val="24"/>
          <w:szCs w:val="24"/>
          <w:lang w:val="en-US"/>
        </w:rPr>
        <w:t xml:space="preserve">a </w:t>
      </w:r>
      <w:r w:rsidR="001D61F5">
        <w:rPr>
          <w:rFonts w:asciiTheme="minorHAnsi" w:hAnsiTheme="minorHAnsi" w:cstheme="minorHAnsi"/>
          <w:sz w:val="24"/>
          <w:szCs w:val="24"/>
          <w:lang w:val="en-US"/>
        </w:rPr>
        <w:t>scholarly publication referring to an isolated theory</w:t>
      </w:r>
      <w:r w:rsidR="00A8306E">
        <w:rPr>
          <w:rFonts w:asciiTheme="minorHAnsi" w:hAnsiTheme="minorHAnsi" w:cstheme="minorHAnsi"/>
          <w:sz w:val="24"/>
          <w:szCs w:val="24"/>
          <w:lang w:val="en-US"/>
        </w:rPr>
        <w:t xml:space="preserve"> rejected in practice</w:t>
      </w:r>
      <w:r w:rsidR="001D61F5">
        <w:rPr>
          <w:rFonts w:asciiTheme="minorHAnsi" w:hAnsiTheme="minorHAnsi" w:cstheme="minorHAnsi"/>
          <w:sz w:val="24"/>
          <w:szCs w:val="24"/>
          <w:lang w:val="en-US"/>
        </w:rPr>
        <w:t xml:space="preserve"> (also somewhat misunderstanding it) without any analysis whatsoever of the relevant provisions of the treaties binding Canada, in particular not those on the three-step test </w:t>
      </w:r>
      <w:r w:rsidR="00D14810">
        <w:rPr>
          <w:rFonts w:asciiTheme="minorHAnsi" w:hAnsiTheme="minorHAnsi" w:cstheme="minorHAnsi"/>
          <w:sz w:val="24"/>
          <w:szCs w:val="24"/>
          <w:lang w:val="en-US"/>
        </w:rPr>
        <w:t xml:space="preserve">– </w:t>
      </w:r>
      <w:r w:rsidR="001D61F5">
        <w:rPr>
          <w:rFonts w:asciiTheme="minorHAnsi" w:hAnsiTheme="minorHAnsi" w:cstheme="minorHAnsi"/>
          <w:sz w:val="24"/>
          <w:szCs w:val="24"/>
          <w:lang w:val="en-US"/>
        </w:rPr>
        <w:t>with which the theory of “users’ rights” applicably “largely and liberally” instead of appropriately</w:t>
      </w:r>
      <w:r w:rsidR="00D14810">
        <w:rPr>
          <w:rFonts w:asciiTheme="minorHAnsi" w:hAnsiTheme="minorHAnsi" w:cstheme="minorHAnsi"/>
          <w:sz w:val="24"/>
          <w:szCs w:val="24"/>
          <w:lang w:val="en-US"/>
        </w:rPr>
        <w:t>,</w:t>
      </w:r>
      <w:r w:rsidR="001D61F5">
        <w:rPr>
          <w:rFonts w:asciiTheme="minorHAnsi" w:hAnsiTheme="minorHAnsi" w:cstheme="minorHAnsi"/>
          <w:sz w:val="24"/>
          <w:szCs w:val="24"/>
          <w:lang w:val="en-US"/>
        </w:rPr>
        <w:t xml:space="preserve"> in a duly balanced way, neither narrowly nor broadly</w:t>
      </w:r>
      <w:r w:rsidR="00D14810">
        <w:rPr>
          <w:rFonts w:asciiTheme="minorHAnsi" w:hAnsiTheme="minorHAnsi" w:cstheme="minorHAnsi"/>
          <w:sz w:val="24"/>
          <w:szCs w:val="24"/>
          <w:lang w:val="en-US"/>
        </w:rPr>
        <w:t>,</w:t>
      </w:r>
      <w:r w:rsidR="001D61F5">
        <w:rPr>
          <w:rFonts w:asciiTheme="minorHAnsi" w:hAnsiTheme="minorHAnsi" w:cstheme="minorHAnsi"/>
          <w:sz w:val="24"/>
          <w:szCs w:val="24"/>
          <w:lang w:val="en-US"/>
        </w:rPr>
        <w:t xml:space="preserve"> </w:t>
      </w:r>
      <w:r w:rsidR="00A8306E">
        <w:rPr>
          <w:rFonts w:asciiTheme="minorHAnsi" w:hAnsiTheme="minorHAnsi" w:cstheme="minorHAnsi"/>
          <w:sz w:val="24"/>
          <w:szCs w:val="24"/>
          <w:lang w:val="en-US"/>
        </w:rPr>
        <w:t xml:space="preserve">had </w:t>
      </w:r>
      <w:r w:rsidR="001D61F5">
        <w:rPr>
          <w:rFonts w:asciiTheme="minorHAnsi" w:hAnsiTheme="minorHAnsi" w:cstheme="minorHAnsi"/>
          <w:sz w:val="24"/>
          <w:szCs w:val="24"/>
          <w:lang w:val="en-US"/>
        </w:rPr>
        <w:t>got</w:t>
      </w:r>
      <w:r w:rsidR="00A8306E">
        <w:rPr>
          <w:rFonts w:asciiTheme="minorHAnsi" w:hAnsiTheme="minorHAnsi" w:cstheme="minorHAnsi"/>
          <w:sz w:val="24"/>
          <w:szCs w:val="24"/>
          <w:lang w:val="en-US"/>
        </w:rPr>
        <w:t>ten</w:t>
      </w:r>
      <w:r w:rsidR="001D61F5">
        <w:rPr>
          <w:rFonts w:asciiTheme="minorHAnsi" w:hAnsiTheme="minorHAnsi" w:cstheme="minorHAnsi"/>
          <w:sz w:val="24"/>
          <w:szCs w:val="24"/>
          <w:lang w:val="en-US"/>
        </w:rPr>
        <w:t xml:space="preserve"> in undeniably conflict. </w:t>
      </w:r>
      <w:r w:rsidR="003F076E">
        <w:rPr>
          <w:rFonts w:asciiTheme="minorHAnsi" w:hAnsiTheme="minorHAnsi" w:cstheme="minorHAnsi"/>
          <w:sz w:val="24"/>
          <w:szCs w:val="24"/>
          <w:lang w:val="en-US"/>
        </w:rPr>
        <w:t xml:space="preserve">  </w:t>
      </w:r>
      <w:r>
        <w:rPr>
          <w:rFonts w:asciiTheme="minorHAnsi" w:hAnsiTheme="minorHAnsi" w:cstheme="minorHAnsi"/>
          <w:sz w:val="24"/>
          <w:szCs w:val="24"/>
          <w:lang w:val="en-US"/>
        </w:rPr>
        <w:t xml:space="preserve"> </w:t>
      </w:r>
    </w:p>
    <w:p w14:paraId="05CE81EC" w14:textId="77777777" w:rsidR="00497B03" w:rsidRDefault="00497B03" w:rsidP="001C3A84">
      <w:pPr>
        <w:tabs>
          <w:tab w:val="left" w:pos="426"/>
        </w:tabs>
        <w:jc w:val="both"/>
        <w:rPr>
          <w:rFonts w:ascii="Times New Roman" w:hAnsi="Times New Roman"/>
          <w:sz w:val="24"/>
          <w:szCs w:val="24"/>
          <w:lang w:val="en-US"/>
        </w:rPr>
      </w:pPr>
    </w:p>
    <w:p w14:paraId="5E5ADCAD" w14:textId="77777777" w:rsidR="00497B03" w:rsidRPr="00497B03" w:rsidRDefault="00497B03" w:rsidP="00497B03">
      <w:pPr>
        <w:ind w:left="567"/>
        <w:jc w:val="both"/>
        <w:rPr>
          <w:rFonts w:asciiTheme="minorHAnsi" w:hAnsiTheme="minorHAnsi" w:cstheme="minorHAnsi"/>
          <w:sz w:val="24"/>
          <w:szCs w:val="24"/>
          <w:lang w:val="en-US"/>
        </w:rPr>
      </w:pPr>
      <w:r>
        <w:rPr>
          <w:rFonts w:ascii="Times New Roman" w:hAnsi="Times New Roman"/>
          <w:sz w:val="24"/>
          <w:szCs w:val="24"/>
          <w:lang w:val="en-US"/>
        </w:rPr>
        <w:t xml:space="preserve">  </w:t>
      </w:r>
      <w:r w:rsidRPr="00497B03">
        <w:rPr>
          <w:rFonts w:asciiTheme="minorHAnsi" w:hAnsiTheme="minorHAnsi" w:cstheme="minorHAnsi"/>
          <w:sz w:val="24"/>
          <w:szCs w:val="24"/>
          <w:lang w:val="en-US"/>
        </w:rPr>
        <w:t xml:space="preserve">1) The Canadian legislation on fair dealing for educational purposes, in the way fair dealing and other exceptions are interpreted by the Supreme Court of Canada (SCC), is in conflict with the international treaties; in particular with the three-step test under Article 9(2) of the Berne Convention, Article 13 of TRIPs Agreement and Article 10 of the WIPO Copyright Treaty (WCT) for the following reasons.   </w:t>
      </w:r>
    </w:p>
    <w:p w14:paraId="5ED0BD8D" w14:textId="77777777" w:rsidR="00497B03" w:rsidRPr="00497B03" w:rsidRDefault="00497B03" w:rsidP="00497B03">
      <w:pPr>
        <w:ind w:left="567"/>
        <w:jc w:val="both"/>
        <w:rPr>
          <w:rFonts w:asciiTheme="minorHAnsi" w:hAnsiTheme="minorHAnsi" w:cstheme="minorHAnsi"/>
          <w:sz w:val="24"/>
          <w:szCs w:val="24"/>
          <w:lang w:val="en-US"/>
        </w:rPr>
      </w:pPr>
    </w:p>
    <w:p w14:paraId="0904A8DC" w14:textId="77777777" w:rsidR="00497B03" w:rsidRPr="00497B03" w:rsidRDefault="00497B03" w:rsidP="00497B03">
      <w:pPr>
        <w:ind w:left="567"/>
        <w:jc w:val="both"/>
        <w:rPr>
          <w:rFonts w:asciiTheme="minorHAnsi" w:hAnsiTheme="minorHAnsi" w:cstheme="minorHAnsi"/>
          <w:sz w:val="24"/>
          <w:szCs w:val="24"/>
          <w:lang w:val="en-US"/>
        </w:rPr>
      </w:pPr>
      <w:r w:rsidRPr="00497B03">
        <w:rPr>
          <w:rFonts w:asciiTheme="minorHAnsi" w:hAnsiTheme="minorHAnsi" w:cstheme="minorHAnsi"/>
          <w:sz w:val="24"/>
          <w:szCs w:val="24"/>
          <w:lang w:val="en-US"/>
        </w:rPr>
        <w:t xml:space="preserve">   2) Those elements of the case law which are incompatible with the international treaties appeared first in </w:t>
      </w:r>
      <w:r w:rsidRPr="00497B03">
        <w:rPr>
          <w:rFonts w:asciiTheme="minorHAnsi" w:hAnsiTheme="minorHAnsi" w:cstheme="minorHAnsi"/>
          <w:i/>
          <w:sz w:val="24"/>
          <w:szCs w:val="24"/>
          <w:lang w:val="en-US"/>
        </w:rPr>
        <w:t>CCH</w:t>
      </w:r>
      <w:r w:rsidRPr="00497B03">
        <w:rPr>
          <w:rStyle w:val="Lbjegyzet-hivatkozs"/>
          <w:rFonts w:asciiTheme="minorHAnsi" w:hAnsiTheme="minorHAnsi" w:cstheme="minorHAnsi"/>
          <w:sz w:val="24"/>
          <w:szCs w:val="24"/>
          <w:lang w:val="en-US"/>
        </w:rPr>
        <w:footnoteReference w:id="21"/>
      </w:r>
      <w:r w:rsidRPr="00497B03">
        <w:rPr>
          <w:rFonts w:asciiTheme="minorHAnsi" w:hAnsiTheme="minorHAnsi" w:cstheme="minorHAnsi"/>
          <w:sz w:val="24"/>
          <w:szCs w:val="24"/>
          <w:lang w:val="en-US"/>
        </w:rPr>
        <w:t xml:space="preserve"> where the Court – contrary to its declared intention of establishing better balance – introduced the “user rights” doctrine and the principle of “large and liberal” application of the provisions of fair dealing (in the given case, fair dealing for research purposes under section 29 of the CAA) </w:t>
      </w:r>
      <w:r w:rsidR="003F076E">
        <w:rPr>
          <w:rFonts w:asciiTheme="minorHAnsi" w:hAnsiTheme="minorHAnsi" w:cstheme="minorHAnsi"/>
          <w:sz w:val="24"/>
          <w:szCs w:val="24"/>
          <w:lang w:val="en-US"/>
        </w:rPr>
        <w:t xml:space="preserve">through </w:t>
      </w:r>
      <w:r w:rsidRPr="00497B03">
        <w:rPr>
          <w:rFonts w:asciiTheme="minorHAnsi" w:hAnsiTheme="minorHAnsi" w:cstheme="minorHAnsi"/>
          <w:sz w:val="24"/>
          <w:szCs w:val="24"/>
          <w:lang w:val="en-US"/>
        </w:rPr>
        <w:t xml:space="preserve">which </w:t>
      </w:r>
      <w:r w:rsidR="003F076E">
        <w:rPr>
          <w:rFonts w:asciiTheme="minorHAnsi" w:hAnsiTheme="minorHAnsi" w:cstheme="minorHAnsi"/>
          <w:sz w:val="24"/>
          <w:szCs w:val="24"/>
          <w:lang w:val="en-US"/>
        </w:rPr>
        <w:t xml:space="preserve">it </w:t>
      </w:r>
      <w:r w:rsidRPr="00497B03">
        <w:rPr>
          <w:rFonts w:asciiTheme="minorHAnsi" w:hAnsiTheme="minorHAnsi" w:cstheme="minorHAnsi"/>
          <w:sz w:val="24"/>
          <w:szCs w:val="24"/>
          <w:lang w:val="en-US"/>
        </w:rPr>
        <w:t xml:space="preserve">upset the copyright balance in favor of those so-called “user rights” and to the detriment of the rights and legitimate interests of authors and other owners of copyright. </w:t>
      </w:r>
    </w:p>
    <w:p w14:paraId="12CEC336" w14:textId="77777777" w:rsidR="00497B03" w:rsidRPr="00497B03" w:rsidRDefault="00497B03" w:rsidP="00497B03">
      <w:pPr>
        <w:ind w:left="567"/>
        <w:jc w:val="both"/>
        <w:rPr>
          <w:rFonts w:asciiTheme="minorHAnsi" w:hAnsiTheme="minorHAnsi" w:cstheme="minorHAnsi"/>
          <w:sz w:val="24"/>
          <w:szCs w:val="24"/>
          <w:lang w:val="en-US"/>
        </w:rPr>
      </w:pPr>
    </w:p>
    <w:p w14:paraId="2123A671" w14:textId="77777777" w:rsidR="00497B03" w:rsidRPr="00497B03" w:rsidRDefault="00497B03" w:rsidP="00497B03">
      <w:pPr>
        <w:ind w:left="567"/>
        <w:jc w:val="both"/>
        <w:rPr>
          <w:rFonts w:asciiTheme="minorHAnsi" w:hAnsiTheme="minorHAnsi" w:cstheme="minorHAnsi"/>
          <w:sz w:val="24"/>
          <w:szCs w:val="24"/>
          <w:lang w:val="en-US"/>
        </w:rPr>
      </w:pPr>
      <w:r w:rsidRPr="00497B03">
        <w:rPr>
          <w:rFonts w:asciiTheme="minorHAnsi" w:hAnsiTheme="minorHAnsi" w:cstheme="minorHAnsi"/>
          <w:sz w:val="24"/>
          <w:szCs w:val="24"/>
          <w:lang w:val="en-US"/>
        </w:rPr>
        <w:t xml:space="preserve">   3) The “user rights” doctrine introduced in </w:t>
      </w:r>
      <w:r w:rsidRPr="00497B03">
        <w:rPr>
          <w:rFonts w:asciiTheme="minorHAnsi" w:hAnsiTheme="minorHAnsi" w:cstheme="minorHAnsi"/>
          <w:i/>
          <w:sz w:val="24"/>
          <w:szCs w:val="24"/>
          <w:lang w:val="en-US"/>
        </w:rPr>
        <w:t>CCH</w:t>
      </w:r>
      <w:r w:rsidRPr="00497B03">
        <w:rPr>
          <w:rFonts w:asciiTheme="minorHAnsi" w:hAnsiTheme="minorHAnsi" w:cstheme="minorHAnsi"/>
          <w:sz w:val="24"/>
          <w:szCs w:val="24"/>
          <w:lang w:val="en-US"/>
        </w:rPr>
        <w:t xml:space="preserve"> was lent from legal literature where it had been developed in rejection of the traditional concept according to which fair dealing was a “defense to infringement”. However, speaking about fair dealing as a “defense to infringement” – from the viewpoint of balancing of interests – may be just a matter of rhetoric; it is not supposed to necessarily determine the interpretation of fair dealing substantively; it may be unduly restrictive or unduly extensive, but it may be very well also just adequate. If the expression “user rights” had remained just a matter of rhetoric, it would not have led to substantive conflict with the international copyright treaties. However, in </w:t>
      </w:r>
      <w:r w:rsidRPr="00497B03">
        <w:rPr>
          <w:rFonts w:asciiTheme="minorHAnsi" w:hAnsiTheme="minorHAnsi" w:cstheme="minorHAnsi"/>
          <w:i/>
          <w:sz w:val="24"/>
          <w:szCs w:val="24"/>
          <w:lang w:val="en-US"/>
        </w:rPr>
        <w:t>CCH</w:t>
      </w:r>
      <w:r w:rsidRPr="00497B03">
        <w:rPr>
          <w:rFonts w:asciiTheme="minorHAnsi" w:hAnsiTheme="minorHAnsi" w:cstheme="minorHAnsi"/>
          <w:sz w:val="24"/>
          <w:szCs w:val="24"/>
          <w:lang w:val="en-US"/>
        </w:rPr>
        <w:t xml:space="preserve">, the concept of “user rights” was not applied in that way. It was not used as the recognition that, in those cases where it is justified to permit free uses of works, there is no infringement; it was transformed into a doctrine according to which “user rights” are – at least – at equal footing with authors’ rights and they have </w:t>
      </w:r>
      <w:r w:rsidR="003F076E">
        <w:rPr>
          <w:rFonts w:asciiTheme="minorHAnsi" w:hAnsiTheme="minorHAnsi" w:cstheme="minorHAnsi"/>
          <w:sz w:val="24"/>
          <w:szCs w:val="24"/>
          <w:lang w:val="en-US"/>
        </w:rPr>
        <w:t xml:space="preserve">even </w:t>
      </w:r>
      <w:r w:rsidRPr="00497B03">
        <w:rPr>
          <w:rFonts w:asciiTheme="minorHAnsi" w:hAnsiTheme="minorHAnsi" w:cstheme="minorHAnsi"/>
          <w:sz w:val="24"/>
          <w:szCs w:val="24"/>
          <w:lang w:val="en-US"/>
        </w:rPr>
        <w:t xml:space="preserve">a superior legal-political status. </w:t>
      </w:r>
    </w:p>
    <w:p w14:paraId="6FB4FCE3" w14:textId="77777777" w:rsidR="00497B03" w:rsidRPr="00497B03" w:rsidRDefault="00497B03" w:rsidP="00497B03">
      <w:pPr>
        <w:ind w:left="567"/>
        <w:jc w:val="both"/>
        <w:rPr>
          <w:rFonts w:asciiTheme="minorHAnsi" w:hAnsiTheme="minorHAnsi" w:cstheme="minorHAnsi"/>
          <w:sz w:val="24"/>
          <w:szCs w:val="24"/>
          <w:lang w:val="en-US"/>
        </w:rPr>
      </w:pPr>
    </w:p>
    <w:p w14:paraId="0D568761" w14:textId="77777777" w:rsidR="00497B03" w:rsidRPr="00497B03" w:rsidRDefault="00497B03" w:rsidP="00497B03">
      <w:pPr>
        <w:ind w:left="567"/>
        <w:jc w:val="both"/>
        <w:rPr>
          <w:rFonts w:asciiTheme="minorHAnsi" w:hAnsiTheme="minorHAnsi" w:cstheme="minorHAnsi"/>
          <w:sz w:val="24"/>
          <w:szCs w:val="24"/>
          <w:lang w:val="en-US"/>
        </w:rPr>
      </w:pPr>
      <w:r w:rsidRPr="00497B03">
        <w:rPr>
          <w:rFonts w:asciiTheme="minorHAnsi" w:hAnsiTheme="minorHAnsi" w:cstheme="minorHAnsi"/>
          <w:sz w:val="24"/>
          <w:szCs w:val="24"/>
          <w:lang w:val="en-US"/>
        </w:rPr>
        <w:t xml:space="preserve">   4) The way in which the “user rights” doctrine was presented and applied created multiple conflicts with the objectives and provisions of the international treaties. The very concept of exceptions to and limitations of copyright – as provided, and identified </w:t>
      </w:r>
      <w:r w:rsidRPr="00497B03">
        <w:rPr>
          <w:rFonts w:asciiTheme="minorHAnsi" w:hAnsiTheme="minorHAnsi" w:cstheme="minorHAnsi"/>
          <w:i/>
          <w:sz w:val="24"/>
          <w:szCs w:val="24"/>
          <w:lang w:val="en-US"/>
        </w:rPr>
        <w:t>expressis verbis</w:t>
      </w:r>
      <w:r w:rsidRPr="00497B03">
        <w:rPr>
          <w:rFonts w:asciiTheme="minorHAnsi" w:hAnsiTheme="minorHAnsi" w:cstheme="minorHAnsi"/>
          <w:sz w:val="24"/>
          <w:szCs w:val="24"/>
          <w:lang w:val="en-US"/>
        </w:rPr>
        <w:t xml:space="preserve"> as such in the treaties – was, at least implicitly, rejected. The extremely “large and liberal” way in which the SCC interpreted “research” as a fair dealing purpose showed how seriously the application of this doctrine may get into conflict already with the first – and basic – condition of the three-step test, under which exceptions and limitations must be confined (limited to) certain special cases (also subject to the other two cumulative conditions of the test).                                              </w:t>
      </w:r>
    </w:p>
    <w:p w14:paraId="4B9451E7" w14:textId="77777777" w:rsidR="00497B03" w:rsidRPr="00497B03" w:rsidRDefault="00497B03" w:rsidP="00497B03">
      <w:pPr>
        <w:ind w:left="567"/>
        <w:jc w:val="both"/>
        <w:rPr>
          <w:rFonts w:asciiTheme="minorHAnsi" w:hAnsiTheme="minorHAnsi" w:cstheme="minorHAnsi"/>
          <w:sz w:val="24"/>
          <w:szCs w:val="24"/>
          <w:lang w:val="en-US"/>
        </w:rPr>
      </w:pPr>
    </w:p>
    <w:p w14:paraId="1416F791" w14:textId="77777777" w:rsidR="00497B03" w:rsidRPr="00497B03" w:rsidRDefault="00497B03" w:rsidP="00497B03">
      <w:pPr>
        <w:ind w:left="567"/>
        <w:jc w:val="both"/>
        <w:rPr>
          <w:rFonts w:asciiTheme="minorHAnsi" w:eastAsia="Times New Roman" w:hAnsiTheme="minorHAnsi" w:cstheme="minorHAnsi"/>
          <w:sz w:val="24"/>
          <w:szCs w:val="24"/>
          <w:lang w:val="en-US" w:eastAsia="hu-HU"/>
        </w:rPr>
      </w:pPr>
      <w:r w:rsidRPr="00497B03">
        <w:rPr>
          <w:rFonts w:asciiTheme="minorHAnsi" w:hAnsiTheme="minorHAnsi" w:cstheme="minorHAnsi"/>
          <w:sz w:val="24"/>
          <w:szCs w:val="24"/>
          <w:lang w:val="en-US"/>
        </w:rPr>
        <w:t xml:space="preserve">   5) In </w:t>
      </w:r>
      <w:r w:rsidRPr="00497B03">
        <w:rPr>
          <w:rFonts w:asciiTheme="minorHAnsi" w:hAnsiTheme="minorHAnsi" w:cstheme="minorHAnsi"/>
          <w:i/>
          <w:sz w:val="24"/>
          <w:szCs w:val="24"/>
          <w:lang w:val="en-US"/>
        </w:rPr>
        <w:t>CCH</w:t>
      </w:r>
      <w:r w:rsidRPr="00497B03">
        <w:rPr>
          <w:rFonts w:asciiTheme="minorHAnsi" w:hAnsiTheme="minorHAnsi" w:cstheme="minorHAnsi"/>
          <w:sz w:val="24"/>
          <w:szCs w:val="24"/>
          <w:lang w:val="en-US"/>
        </w:rPr>
        <w:t>, six factors were provided – in accordance with the principle of “large and liberal” interpretation based on the postulated legal-political superiority of “user rights” – to determine whether or not a given dealing is fair. The factors, in the manner understood and applied by the Court, have the potential of getting into conflict also with the other two conditions of the three-step test, under which an exception must not conflict with a normal exploitations of works and must not unreasonably prejudice the legitimate interests of authors and other owners of copyright. This is particularly clear in the case of the sixth factor: “</w:t>
      </w:r>
      <w:r w:rsidRPr="00497B03">
        <w:rPr>
          <w:rFonts w:asciiTheme="minorHAnsi" w:eastAsia="Times New Roman" w:hAnsiTheme="minorHAnsi" w:cstheme="minorHAnsi"/>
          <w:sz w:val="24"/>
          <w:szCs w:val="24"/>
          <w:lang w:val="en-US" w:eastAsia="hu-HU"/>
        </w:rPr>
        <w:t>the effect of the dealing on the works” (on authors’ rights and their chance to exploit their works). According to the Court, this is just one of the factors and not a decisive one; the fact that non-authorized copies compete on the market with authorized copies “may suggest that dealing is not fair” – but only “</w:t>
      </w:r>
      <w:r w:rsidRPr="00497B03">
        <w:rPr>
          <w:rFonts w:asciiTheme="minorHAnsi" w:eastAsia="Times New Roman" w:hAnsiTheme="minorHAnsi" w:cstheme="minorHAnsi"/>
          <w:i/>
          <w:sz w:val="24"/>
          <w:szCs w:val="24"/>
          <w:lang w:val="en-US" w:eastAsia="hu-HU"/>
        </w:rPr>
        <w:t>may</w:t>
      </w:r>
      <w:r w:rsidRPr="00497B03">
        <w:rPr>
          <w:rFonts w:asciiTheme="minorHAnsi" w:eastAsia="Times New Roman" w:hAnsiTheme="minorHAnsi" w:cstheme="minorHAnsi"/>
          <w:sz w:val="24"/>
          <w:szCs w:val="24"/>
          <w:lang w:val="en-US" w:eastAsia="hu-HU"/>
        </w:rPr>
        <w:t>”. In contrast, under the three-step test, if exceptions were in conflict with a normal exploitation of works (in the sense that they got into competition on the market with the exploitation of authorized copies), they must not be applied.</w:t>
      </w:r>
    </w:p>
    <w:p w14:paraId="502437B0" w14:textId="77777777" w:rsidR="00497B03" w:rsidRPr="00497B03" w:rsidRDefault="00497B03" w:rsidP="00497B03">
      <w:pPr>
        <w:ind w:left="567"/>
        <w:jc w:val="both"/>
        <w:rPr>
          <w:rFonts w:asciiTheme="minorHAnsi" w:eastAsia="Calibri" w:hAnsiTheme="minorHAnsi" w:cstheme="minorHAnsi"/>
          <w:sz w:val="24"/>
          <w:szCs w:val="24"/>
          <w:lang w:val="en-US"/>
        </w:rPr>
      </w:pPr>
      <w:r w:rsidRPr="00497B03">
        <w:rPr>
          <w:rFonts w:asciiTheme="minorHAnsi" w:hAnsiTheme="minorHAnsi" w:cstheme="minorHAnsi"/>
          <w:sz w:val="24"/>
          <w:szCs w:val="24"/>
          <w:lang w:val="en-US"/>
        </w:rPr>
        <w:t xml:space="preserve">  </w:t>
      </w:r>
    </w:p>
    <w:p w14:paraId="187935C1" w14:textId="77777777" w:rsidR="00497B03" w:rsidRPr="00497B03" w:rsidRDefault="00497B03" w:rsidP="00497B03">
      <w:pPr>
        <w:ind w:left="567"/>
        <w:jc w:val="both"/>
        <w:rPr>
          <w:rFonts w:asciiTheme="minorHAnsi" w:hAnsiTheme="minorHAnsi" w:cstheme="minorHAnsi"/>
          <w:sz w:val="24"/>
          <w:szCs w:val="24"/>
          <w:lang w:val="en-US"/>
        </w:rPr>
      </w:pPr>
      <w:r w:rsidRPr="00497B03">
        <w:rPr>
          <w:rFonts w:asciiTheme="minorHAnsi" w:hAnsiTheme="minorHAnsi" w:cstheme="minorHAnsi"/>
          <w:sz w:val="24"/>
          <w:szCs w:val="24"/>
          <w:lang w:val="en-US"/>
        </w:rPr>
        <w:t xml:space="preserve">   6) In </w:t>
      </w:r>
      <w:r w:rsidRPr="00497B03">
        <w:rPr>
          <w:rFonts w:asciiTheme="minorHAnsi" w:hAnsiTheme="minorHAnsi" w:cstheme="minorHAnsi"/>
          <w:i/>
          <w:sz w:val="24"/>
          <w:szCs w:val="24"/>
          <w:lang w:val="en-US"/>
        </w:rPr>
        <w:t>Alberta (Education)</w:t>
      </w:r>
      <w:r w:rsidRPr="00497B03">
        <w:rPr>
          <w:rStyle w:val="Lbjegyzet-hivatkozs"/>
          <w:rFonts w:asciiTheme="minorHAnsi" w:hAnsiTheme="minorHAnsi" w:cstheme="minorHAnsi"/>
          <w:i/>
          <w:sz w:val="24"/>
          <w:szCs w:val="24"/>
          <w:lang w:val="en-US"/>
        </w:rPr>
        <w:footnoteReference w:id="22"/>
      </w:r>
      <w:r w:rsidRPr="00497B03">
        <w:rPr>
          <w:rFonts w:asciiTheme="minorHAnsi" w:hAnsiTheme="minorHAnsi" w:cstheme="minorHAnsi"/>
          <w:i/>
          <w:sz w:val="24"/>
          <w:szCs w:val="24"/>
          <w:lang w:val="en-US"/>
        </w:rPr>
        <w:t xml:space="preserve"> </w:t>
      </w:r>
      <w:r w:rsidRPr="00497B03">
        <w:rPr>
          <w:rFonts w:asciiTheme="minorHAnsi" w:hAnsiTheme="minorHAnsi" w:cstheme="minorHAnsi"/>
          <w:sz w:val="24"/>
          <w:szCs w:val="24"/>
          <w:lang w:val="en-US"/>
        </w:rPr>
        <w:t xml:space="preserve">– adopted by a narrow (5:4) majority in 2012 as one of the so-called pentalogy decisions – the SCC revised the Copyright Board’s decision on reprographic reproduction rights tariffs for K-12 educational institutions (for primary and secondary education). The Board had found that the regular use of unauthorized extracts from works (in course packs or otherwise) made by teachers or, at their initiative, by the  schools for class room instruction, had the cumulative effect of conflicting with a normal exploitation of works and unreasonably prejudicing the legitimate interests of authors and other owners of copyright. The SCC majority applied in a fully-fledged manner the “user rights” doctrine and the principle of “large and liberal” interpretation of fair dealing as developed in </w:t>
      </w:r>
      <w:r w:rsidRPr="00497B03">
        <w:rPr>
          <w:rFonts w:asciiTheme="minorHAnsi" w:hAnsiTheme="minorHAnsi" w:cstheme="minorHAnsi"/>
          <w:i/>
          <w:sz w:val="24"/>
          <w:szCs w:val="24"/>
          <w:lang w:val="en-US"/>
        </w:rPr>
        <w:t>CCH</w:t>
      </w:r>
      <w:r w:rsidRPr="00497B03">
        <w:rPr>
          <w:rFonts w:asciiTheme="minorHAnsi" w:hAnsiTheme="minorHAnsi" w:cstheme="minorHAnsi"/>
          <w:sz w:val="24"/>
          <w:szCs w:val="24"/>
          <w:lang w:val="en-US"/>
        </w:rPr>
        <w:t xml:space="preserve">. In contrast with the ordinary meaning of “research and private study”, on the one hand, and “education” and “teaching”, on the other hand, it found that class room teaching is “research and private study” of the students – just facilitated by the teachers. In this way, the Court </w:t>
      </w:r>
      <w:r w:rsidRPr="00497B03">
        <w:rPr>
          <w:rFonts w:asciiTheme="minorHAnsi" w:hAnsiTheme="minorHAnsi" w:cstheme="minorHAnsi"/>
          <w:i/>
          <w:sz w:val="24"/>
          <w:szCs w:val="24"/>
          <w:lang w:val="en-US"/>
        </w:rPr>
        <w:t>de facto</w:t>
      </w:r>
      <w:r w:rsidRPr="00497B03">
        <w:rPr>
          <w:rFonts w:asciiTheme="minorHAnsi" w:hAnsiTheme="minorHAnsi" w:cstheme="minorHAnsi"/>
          <w:sz w:val="24"/>
          <w:szCs w:val="24"/>
          <w:lang w:val="en-US"/>
        </w:rPr>
        <w:t xml:space="preserve"> amended section 29 of the CCA extending fair use purposes to education – before such extension, adopted by the Parliament, entered into force. At the same time, the Court interpreted this new fair dealing purpose (introduced by itself) so “largely and liberally” that – as recognized even by the supporters of the Court’s “user rights” doctrine (see below) – it resulted with clear conflict with the objectives of the international treaties on the protection of copyright and, in particular, with the three-step test.     </w:t>
      </w:r>
    </w:p>
    <w:p w14:paraId="7D0FE648" w14:textId="77777777" w:rsidR="00497B03" w:rsidRPr="00497B03" w:rsidRDefault="00497B03" w:rsidP="00497B03">
      <w:pPr>
        <w:ind w:left="567"/>
        <w:jc w:val="both"/>
        <w:rPr>
          <w:rFonts w:asciiTheme="minorHAnsi" w:hAnsiTheme="minorHAnsi" w:cstheme="minorHAnsi"/>
          <w:sz w:val="24"/>
          <w:szCs w:val="24"/>
          <w:lang w:val="en-US"/>
        </w:rPr>
      </w:pPr>
    </w:p>
    <w:p w14:paraId="660248B2" w14:textId="71DC072C" w:rsidR="00B27571" w:rsidRPr="00DF426F" w:rsidRDefault="0042575D" w:rsidP="001C3A84">
      <w:pPr>
        <w:tabs>
          <w:tab w:val="left" w:pos="426"/>
        </w:tabs>
        <w:jc w:val="both"/>
        <w:rPr>
          <w:rFonts w:asciiTheme="minorHAnsi" w:hAnsiTheme="minorHAnsi" w:cstheme="minorHAnsi"/>
          <w:sz w:val="24"/>
          <w:szCs w:val="24"/>
          <w:lang w:val="en-US"/>
        </w:rPr>
      </w:pPr>
      <w:r>
        <w:rPr>
          <w:rFonts w:asciiTheme="minorHAnsi" w:hAnsiTheme="minorHAnsi" w:cstheme="minorHAnsi"/>
          <w:sz w:val="24"/>
          <w:szCs w:val="24"/>
          <w:lang w:val="en-US"/>
        </w:rPr>
        <w:t>I</w:t>
      </w:r>
      <w:r w:rsidR="0092145D" w:rsidRPr="00DF426F">
        <w:rPr>
          <w:rFonts w:asciiTheme="minorHAnsi" w:hAnsiTheme="minorHAnsi" w:cstheme="minorHAnsi"/>
          <w:sz w:val="24"/>
          <w:szCs w:val="24"/>
          <w:lang w:val="en-US"/>
        </w:rPr>
        <w:t xml:space="preserve"> do not suggest that the theory of “users’ rights” to be applied broadly </w:t>
      </w:r>
      <w:r w:rsidR="00D44180">
        <w:rPr>
          <w:rFonts w:asciiTheme="minorHAnsi" w:hAnsiTheme="minorHAnsi" w:cstheme="minorHAnsi"/>
          <w:sz w:val="24"/>
          <w:szCs w:val="24"/>
          <w:lang w:val="en-US"/>
        </w:rPr>
        <w:t xml:space="preserve">as </w:t>
      </w:r>
      <w:r w:rsidR="0092145D" w:rsidRPr="00DF426F">
        <w:rPr>
          <w:rFonts w:asciiTheme="minorHAnsi" w:hAnsiTheme="minorHAnsi" w:cstheme="minorHAnsi"/>
          <w:sz w:val="24"/>
          <w:szCs w:val="24"/>
          <w:lang w:val="en-US"/>
        </w:rPr>
        <w:t>suggested in the Recommendations is the same and would have the same effect</w:t>
      </w:r>
      <w:r w:rsidR="007B42A6" w:rsidRPr="00DF426F">
        <w:rPr>
          <w:rFonts w:asciiTheme="minorHAnsi" w:hAnsiTheme="minorHAnsi" w:cstheme="minorHAnsi"/>
          <w:sz w:val="24"/>
          <w:szCs w:val="24"/>
          <w:lang w:val="en-US"/>
        </w:rPr>
        <w:t>s as the</w:t>
      </w:r>
      <w:r w:rsidR="00E66516" w:rsidRPr="00DF426F">
        <w:rPr>
          <w:rFonts w:asciiTheme="minorHAnsi" w:hAnsiTheme="minorHAnsi" w:cstheme="minorHAnsi"/>
          <w:sz w:val="24"/>
          <w:szCs w:val="24"/>
          <w:lang w:val="en-US"/>
        </w:rPr>
        <w:t xml:space="preserve"> theory of</w:t>
      </w:r>
      <w:r w:rsidR="007B42A6" w:rsidRPr="00DF426F">
        <w:rPr>
          <w:rFonts w:asciiTheme="minorHAnsi" w:hAnsiTheme="minorHAnsi" w:cstheme="minorHAnsi"/>
          <w:sz w:val="24"/>
          <w:szCs w:val="24"/>
          <w:lang w:val="en-US"/>
        </w:rPr>
        <w:t xml:space="preserve"> “users’ rights” </w:t>
      </w:r>
      <w:r w:rsidR="00E66516" w:rsidRPr="00DF426F">
        <w:rPr>
          <w:rFonts w:asciiTheme="minorHAnsi" w:hAnsiTheme="minorHAnsi" w:cstheme="minorHAnsi"/>
          <w:sz w:val="24"/>
          <w:szCs w:val="24"/>
          <w:lang w:val="en-US"/>
        </w:rPr>
        <w:t xml:space="preserve">to be applied largely and liberally </w:t>
      </w:r>
      <w:r w:rsidR="00D44180">
        <w:rPr>
          <w:rFonts w:asciiTheme="minorHAnsi" w:hAnsiTheme="minorHAnsi" w:cstheme="minorHAnsi"/>
          <w:sz w:val="24"/>
          <w:szCs w:val="24"/>
          <w:lang w:val="en-US"/>
        </w:rPr>
        <w:t xml:space="preserve">as </w:t>
      </w:r>
      <w:r w:rsidR="007B42A6" w:rsidRPr="00DF426F">
        <w:rPr>
          <w:rFonts w:asciiTheme="minorHAnsi" w:hAnsiTheme="minorHAnsi" w:cstheme="minorHAnsi"/>
          <w:sz w:val="24"/>
          <w:szCs w:val="24"/>
          <w:lang w:val="en-US"/>
        </w:rPr>
        <w:t>introduced in the Canadian case law. However, the main point is that there is no basis for such a theory either in the EU law and the international treaties binding the EU</w:t>
      </w:r>
      <w:r w:rsidR="00A22396">
        <w:rPr>
          <w:rFonts w:asciiTheme="minorHAnsi" w:hAnsiTheme="minorHAnsi" w:cstheme="minorHAnsi"/>
          <w:sz w:val="24"/>
          <w:szCs w:val="24"/>
          <w:lang w:val="en-US"/>
        </w:rPr>
        <w:t>,</w:t>
      </w:r>
      <w:r w:rsidR="007B42A6" w:rsidRPr="00DF426F">
        <w:rPr>
          <w:rFonts w:asciiTheme="minorHAnsi" w:hAnsiTheme="minorHAnsi" w:cstheme="minorHAnsi"/>
          <w:sz w:val="24"/>
          <w:szCs w:val="24"/>
          <w:lang w:val="en-US"/>
        </w:rPr>
        <w:t xml:space="preserve"> its Member States </w:t>
      </w:r>
      <w:r w:rsidR="00D44180">
        <w:rPr>
          <w:rFonts w:asciiTheme="minorHAnsi" w:hAnsiTheme="minorHAnsi" w:cstheme="minorHAnsi"/>
          <w:sz w:val="24"/>
          <w:szCs w:val="24"/>
          <w:lang w:val="en-US"/>
        </w:rPr>
        <w:t xml:space="preserve">or </w:t>
      </w:r>
      <w:r w:rsidR="007B42A6" w:rsidRPr="00DF426F">
        <w:rPr>
          <w:rFonts w:asciiTheme="minorHAnsi" w:hAnsiTheme="minorHAnsi" w:cstheme="minorHAnsi"/>
          <w:sz w:val="24"/>
          <w:szCs w:val="24"/>
          <w:lang w:val="en-US"/>
        </w:rPr>
        <w:t>in the DSM Directives</w:t>
      </w:r>
      <w:r w:rsidR="00E66516" w:rsidRPr="00DF426F">
        <w:rPr>
          <w:rFonts w:asciiTheme="minorHAnsi" w:hAnsiTheme="minorHAnsi" w:cstheme="minorHAnsi"/>
          <w:sz w:val="24"/>
          <w:szCs w:val="24"/>
          <w:lang w:val="en-US"/>
        </w:rPr>
        <w:t xml:space="preserve"> in particular</w:t>
      </w:r>
      <w:r w:rsidR="007B42A6" w:rsidRPr="00DF426F">
        <w:rPr>
          <w:rFonts w:asciiTheme="minorHAnsi" w:hAnsiTheme="minorHAnsi" w:cstheme="minorHAnsi"/>
          <w:sz w:val="24"/>
          <w:szCs w:val="24"/>
          <w:lang w:val="en-US"/>
        </w:rPr>
        <w:t>. It would not be appropriate to introduce such a theory</w:t>
      </w:r>
      <w:r w:rsidR="00E66516" w:rsidRPr="00DF426F">
        <w:rPr>
          <w:rFonts w:asciiTheme="minorHAnsi" w:hAnsiTheme="minorHAnsi" w:cstheme="minorHAnsi"/>
          <w:sz w:val="24"/>
          <w:szCs w:val="24"/>
          <w:lang w:val="en-US"/>
        </w:rPr>
        <w:t xml:space="preserve"> even as a matter of rhetoric (which was </w:t>
      </w:r>
      <w:r w:rsidR="00BE1D5E">
        <w:rPr>
          <w:rFonts w:asciiTheme="minorHAnsi" w:hAnsiTheme="minorHAnsi" w:cstheme="minorHAnsi"/>
          <w:sz w:val="24"/>
          <w:szCs w:val="24"/>
          <w:lang w:val="en-US"/>
        </w:rPr>
        <w:t xml:space="preserve">also </w:t>
      </w:r>
      <w:r w:rsidR="00E66516" w:rsidRPr="00DF426F">
        <w:rPr>
          <w:rFonts w:asciiTheme="minorHAnsi" w:hAnsiTheme="minorHAnsi" w:cstheme="minorHAnsi"/>
          <w:sz w:val="24"/>
          <w:szCs w:val="24"/>
          <w:lang w:val="en-US"/>
        </w:rPr>
        <w:t xml:space="preserve">just the case in Canada </w:t>
      </w:r>
      <w:r w:rsidR="00D44180">
        <w:rPr>
          <w:rFonts w:asciiTheme="minorHAnsi" w:hAnsiTheme="minorHAnsi" w:cstheme="minorHAnsi"/>
          <w:sz w:val="24"/>
          <w:szCs w:val="24"/>
          <w:lang w:val="en-US"/>
        </w:rPr>
        <w:t>at the beginning</w:t>
      </w:r>
      <w:r w:rsidR="00E66516" w:rsidRPr="00DF426F">
        <w:rPr>
          <w:rFonts w:asciiTheme="minorHAnsi" w:hAnsiTheme="minorHAnsi" w:cstheme="minorHAnsi"/>
          <w:sz w:val="24"/>
          <w:szCs w:val="24"/>
          <w:lang w:val="en-US"/>
        </w:rPr>
        <w:t>) and even less along with the suggestion that it require</w:t>
      </w:r>
      <w:r w:rsidR="00D44180">
        <w:rPr>
          <w:rFonts w:asciiTheme="minorHAnsi" w:hAnsiTheme="minorHAnsi" w:cstheme="minorHAnsi"/>
          <w:sz w:val="24"/>
          <w:szCs w:val="24"/>
          <w:lang w:val="en-US"/>
        </w:rPr>
        <w:t>s</w:t>
      </w:r>
      <w:r w:rsidR="00E66516" w:rsidRPr="00DF426F">
        <w:rPr>
          <w:rFonts w:asciiTheme="minorHAnsi" w:hAnsiTheme="minorHAnsi" w:cstheme="minorHAnsi"/>
          <w:sz w:val="24"/>
          <w:szCs w:val="24"/>
          <w:lang w:val="en-US"/>
        </w:rPr>
        <w:t xml:space="preserve"> “broad” application. The interests other than the protection of copyright</w:t>
      </w:r>
      <w:r w:rsidR="00A47ADE" w:rsidRPr="00DF426F">
        <w:rPr>
          <w:rFonts w:asciiTheme="minorHAnsi" w:hAnsiTheme="minorHAnsi" w:cstheme="minorHAnsi"/>
          <w:sz w:val="24"/>
          <w:szCs w:val="24"/>
          <w:lang w:val="en-US"/>
        </w:rPr>
        <w:t xml:space="preserve"> – </w:t>
      </w:r>
      <w:r w:rsidR="00E66516" w:rsidRPr="00DF426F">
        <w:rPr>
          <w:rFonts w:asciiTheme="minorHAnsi" w:hAnsiTheme="minorHAnsi" w:cstheme="minorHAnsi"/>
          <w:sz w:val="24"/>
          <w:szCs w:val="24"/>
          <w:lang w:val="en-US"/>
        </w:rPr>
        <w:t xml:space="preserve">including </w:t>
      </w:r>
      <w:r w:rsidR="00D44180">
        <w:rPr>
          <w:rFonts w:asciiTheme="minorHAnsi" w:hAnsiTheme="minorHAnsi" w:cstheme="minorHAnsi"/>
          <w:sz w:val="24"/>
          <w:szCs w:val="24"/>
          <w:lang w:val="en-US"/>
        </w:rPr>
        <w:t xml:space="preserve">the basic interest of guaranteeing </w:t>
      </w:r>
      <w:r w:rsidR="00E66516" w:rsidRPr="00DF426F">
        <w:rPr>
          <w:rFonts w:asciiTheme="minorHAnsi" w:hAnsiTheme="minorHAnsi" w:cstheme="minorHAnsi"/>
          <w:sz w:val="24"/>
          <w:szCs w:val="24"/>
          <w:lang w:val="en-US"/>
        </w:rPr>
        <w:t>other human rights</w:t>
      </w:r>
      <w:r w:rsidR="00A47ADE" w:rsidRPr="00DF426F">
        <w:rPr>
          <w:rFonts w:asciiTheme="minorHAnsi" w:hAnsiTheme="minorHAnsi" w:cstheme="minorHAnsi"/>
          <w:sz w:val="24"/>
          <w:szCs w:val="24"/>
          <w:lang w:val="en-US"/>
        </w:rPr>
        <w:t xml:space="preserve"> – </w:t>
      </w:r>
      <w:r w:rsidR="00E66516" w:rsidRPr="00DF426F">
        <w:rPr>
          <w:rFonts w:asciiTheme="minorHAnsi" w:hAnsiTheme="minorHAnsi" w:cstheme="minorHAnsi"/>
          <w:sz w:val="24"/>
          <w:szCs w:val="24"/>
          <w:lang w:val="en-US"/>
        </w:rPr>
        <w:t xml:space="preserve">may be fully taken into account in the way </w:t>
      </w:r>
      <w:r w:rsidR="00D44180">
        <w:rPr>
          <w:rFonts w:asciiTheme="minorHAnsi" w:hAnsiTheme="minorHAnsi" w:cstheme="minorHAnsi"/>
          <w:sz w:val="24"/>
          <w:szCs w:val="24"/>
          <w:lang w:val="en-US"/>
        </w:rPr>
        <w:t xml:space="preserve">in which </w:t>
      </w:r>
      <w:r w:rsidR="00E66516" w:rsidRPr="00DF426F">
        <w:rPr>
          <w:rFonts w:asciiTheme="minorHAnsi" w:hAnsiTheme="minorHAnsi" w:cstheme="minorHAnsi"/>
          <w:sz w:val="24"/>
          <w:szCs w:val="24"/>
          <w:lang w:val="en-US"/>
        </w:rPr>
        <w:t xml:space="preserve">this is provided in the existing norms; </w:t>
      </w:r>
      <w:r w:rsidR="00D44180">
        <w:rPr>
          <w:rFonts w:asciiTheme="minorHAnsi" w:hAnsiTheme="minorHAnsi" w:cstheme="minorHAnsi"/>
          <w:sz w:val="24"/>
          <w:szCs w:val="24"/>
          <w:lang w:val="en-US"/>
        </w:rPr>
        <w:t xml:space="preserve">that is, </w:t>
      </w:r>
      <w:r w:rsidR="00E66516" w:rsidRPr="00DF426F">
        <w:rPr>
          <w:rFonts w:asciiTheme="minorHAnsi" w:hAnsiTheme="minorHAnsi" w:cstheme="minorHAnsi"/>
          <w:sz w:val="24"/>
          <w:szCs w:val="24"/>
          <w:lang w:val="en-US"/>
        </w:rPr>
        <w:t xml:space="preserve">on the basis of exceptions and limitations </w:t>
      </w:r>
      <w:r w:rsidR="00E66516" w:rsidRPr="00D44180">
        <w:rPr>
          <w:rFonts w:asciiTheme="minorHAnsi" w:hAnsiTheme="minorHAnsi" w:cstheme="minorHAnsi"/>
          <w:i/>
          <w:sz w:val="24"/>
          <w:szCs w:val="24"/>
          <w:lang w:val="en-US"/>
        </w:rPr>
        <w:t>permitting</w:t>
      </w:r>
      <w:r w:rsidR="00E66516" w:rsidRPr="00DF426F">
        <w:rPr>
          <w:rFonts w:asciiTheme="minorHAnsi" w:hAnsiTheme="minorHAnsi" w:cstheme="minorHAnsi"/>
          <w:sz w:val="24"/>
          <w:szCs w:val="24"/>
          <w:lang w:val="en-US"/>
        </w:rPr>
        <w:t xml:space="preserve"> the use of works and </w:t>
      </w:r>
      <w:r w:rsidR="00A47ADE" w:rsidRPr="00DF426F">
        <w:rPr>
          <w:rFonts w:asciiTheme="minorHAnsi" w:hAnsiTheme="minorHAnsi" w:cstheme="minorHAnsi"/>
          <w:sz w:val="24"/>
          <w:szCs w:val="24"/>
          <w:lang w:val="en-US"/>
        </w:rPr>
        <w:t xml:space="preserve">objects of </w:t>
      </w:r>
      <w:r w:rsidR="00E66516" w:rsidRPr="00DF426F">
        <w:rPr>
          <w:rFonts w:asciiTheme="minorHAnsi" w:hAnsiTheme="minorHAnsi" w:cstheme="minorHAnsi"/>
          <w:sz w:val="24"/>
          <w:szCs w:val="24"/>
          <w:lang w:val="en-US"/>
        </w:rPr>
        <w:t xml:space="preserve">related rights in special cases </w:t>
      </w:r>
      <w:r>
        <w:rPr>
          <w:rFonts w:asciiTheme="minorHAnsi" w:hAnsiTheme="minorHAnsi" w:cstheme="minorHAnsi"/>
          <w:sz w:val="24"/>
          <w:szCs w:val="24"/>
          <w:lang w:val="en-US"/>
        </w:rPr>
        <w:t xml:space="preserve">duly </w:t>
      </w:r>
      <w:r w:rsidR="00A47ADE" w:rsidRPr="00DF426F">
        <w:rPr>
          <w:rFonts w:asciiTheme="minorHAnsi" w:hAnsiTheme="minorHAnsi" w:cstheme="minorHAnsi"/>
          <w:sz w:val="24"/>
          <w:szCs w:val="24"/>
          <w:lang w:val="en-US"/>
        </w:rPr>
        <w:t xml:space="preserve">determined, and to be applied not broadly or narrowly but adequately in order to establish due balance as stated in recital (70) of the Directive.  </w:t>
      </w:r>
      <w:r w:rsidR="00E66516" w:rsidRPr="00DF426F">
        <w:rPr>
          <w:rFonts w:asciiTheme="minorHAnsi" w:hAnsiTheme="minorHAnsi" w:cstheme="minorHAnsi"/>
          <w:sz w:val="24"/>
          <w:szCs w:val="24"/>
          <w:lang w:val="en-US"/>
        </w:rPr>
        <w:t xml:space="preserve"> </w:t>
      </w:r>
    </w:p>
    <w:p w14:paraId="00ABCE47" w14:textId="77777777" w:rsidR="00B27571" w:rsidRPr="00A47ADE" w:rsidRDefault="00B27571" w:rsidP="001C3A84">
      <w:pPr>
        <w:tabs>
          <w:tab w:val="left" w:pos="426"/>
        </w:tabs>
        <w:jc w:val="both"/>
        <w:rPr>
          <w:rFonts w:ascii="Times New Roman" w:hAnsi="Times New Roman"/>
          <w:sz w:val="24"/>
          <w:szCs w:val="24"/>
          <w:lang w:val="en-US"/>
        </w:rPr>
      </w:pPr>
    </w:p>
    <w:p w14:paraId="5A1525B3" w14:textId="77777777" w:rsidR="00B27571" w:rsidRPr="00BE1D5E" w:rsidRDefault="00A47ADE" w:rsidP="00A47ADE">
      <w:pPr>
        <w:jc w:val="center"/>
        <w:rPr>
          <w:rFonts w:asciiTheme="minorHAnsi" w:hAnsiTheme="minorHAnsi" w:cstheme="minorHAnsi"/>
          <w:b/>
          <w:bCs/>
          <w:sz w:val="24"/>
          <w:szCs w:val="24"/>
          <w:lang w:val="en-US"/>
        </w:rPr>
      </w:pPr>
      <w:r w:rsidRPr="00BE1D5E">
        <w:rPr>
          <w:rFonts w:asciiTheme="minorHAnsi" w:hAnsiTheme="minorHAnsi" w:cstheme="minorHAnsi"/>
          <w:b/>
          <w:bCs/>
          <w:sz w:val="24"/>
          <w:szCs w:val="24"/>
          <w:lang w:val="en-US"/>
        </w:rPr>
        <w:t>VI. Conclusions</w:t>
      </w:r>
    </w:p>
    <w:p w14:paraId="78542ECC" w14:textId="77777777" w:rsidR="00A47ADE" w:rsidRPr="00A47ADE" w:rsidRDefault="00A47ADE" w:rsidP="00A47ADE">
      <w:pPr>
        <w:jc w:val="center"/>
        <w:rPr>
          <w:rFonts w:asciiTheme="minorHAnsi" w:hAnsiTheme="minorHAnsi" w:cstheme="minorHAnsi"/>
          <w:sz w:val="24"/>
          <w:szCs w:val="24"/>
          <w:lang w:val="en-US"/>
        </w:rPr>
      </w:pPr>
    </w:p>
    <w:p w14:paraId="50944D8E" w14:textId="3834F426" w:rsidR="00DF426F" w:rsidRDefault="00A47ADE" w:rsidP="00A47ADE">
      <w:pPr>
        <w:jc w:val="both"/>
        <w:rPr>
          <w:rFonts w:asciiTheme="minorHAnsi" w:hAnsiTheme="minorHAnsi" w:cstheme="minorHAnsi"/>
          <w:sz w:val="24"/>
          <w:szCs w:val="24"/>
          <w:lang w:val="en-US"/>
        </w:rPr>
      </w:pPr>
      <w:r w:rsidRPr="00A47ADE">
        <w:rPr>
          <w:rFonts w:asciiTheme="minorHAnsi" w:hAnsiTheme="minorHAnsi" w:cstheme="minorHAnsi"/>
          <w:sz w:val="24"/>
          <w:szCs w:val="24"/>
          <w:lang w:val="en-US"/>
        </w:rPr>
        <w:t xml:space="preserve">It </w:t>
      </w:r>
      <w:r w:rsidR="00BE1D5E">
        <w:rPr>
          <w:rFonts w:asciiTheme="minorHAnsi" w:hAnsiTheme="minorHAnsi" w:cstheme="minorHAnsi"/>
          <w:sz w:val="24"/>
          <w:szCs w:val="24"/>
          <w:lang w:val="en-US"/>
        </w:rPr>
        <w:t>may not be</w:t>
      </w:r>
      <w:r w:rsidRPr="00A47ADE">
        <w:rPr>
          <w:rFonts w:asciiTheme="minorHAnsi" w:hAnsiTheme="minorHAnsi" w:cstheme="minorHAnsi"/>
          <w:sz w:val="24"/>
          <w:szCs w:val="24"/>
          <w:lang w:val="en-US"/>
        </w:rPr>
        <w:t xml:space="preserve"> that </w:t>
      </w:r>
      <w:r>
        <w:rPr>
          <w:rFonts w:asciiTheme="minorHAnsi" w:hAnsiTheme="minorHAnsi" w:cstheme="minorHAnsi"/>
          <w:sz w:val="24"/>
          <w:szCs w:val="24"/>
          <w:lang w:val="en-US"/>
        </w:rPr>
        <w:t xml:space="preserve">there is </w:t>
      </w:r>
      <w:r w:rsidR="00D44180">
        <w:rPr>
          <w:rFonts w:asciiTheme="minorHAnsi" w:hAnsiTheme="minorHAnsi" w:cstheme="minorHAnsi"/>
          <w:sz w:val="24"/>
          <w:szCs w:val="24"/>
          <w:lang w:val="en-US"/>
        </w:rPr>
        <w:t xml:space="preserve">truly </w:t>
      </w:r>
      <w:r w:rsidR="007105B5">
        <w:rPr>
          <w:rFonts w:asciiTheme="minorHAnsi" w:hAnsiTheme="minorHAnsi" w:cstheme="minorHAnsi"/>
          <w:sz w:val="24"/>
          <w:szCs w:val="24"/>
          <w:lang w:val="en-US"/>
        </w:rPr>
        <w:t xml:space="preserve">a </w:t>
      </w:r>
      <w:r>
        <w:rPr>
          <w:rFonts w:asciiTheme="minorHAnsi" w:hAnsiTheme="minorHAnsi" w:cstheme="minorHAnsi"/>
          <w:sz w:val="24"/>
          <w:szCs w:val="24"/>
          <w:lang w:val="en-US"/>
        </w:rPr>
        <w:t>need for a separate summary, since the titles of parts III, IV and V may also function for this purpose too. Nevertheless</w:t>
      </w:r>
      <w:r w:rsidR="007105B5">
        <w:rPr>
          <w:rFonts w:asciiTheme="minorHAnsi" w:hAnsiTheme="minorHAnsi" w:cstheme="minorHAnsi"/>
          <w:sz w:val="24"/>
          <w:szCs w:val="24"/>
          <w:lang w:val="en-US"/>
        </w:rPr>
        <w:t>,</w:t>
      </w:r>
      <w:r>
        <w:rPr>
          <w:rFonts w:asciiTheme="minorHAnsi" w:hAnsiTheme="minorHAnsi" w:cstheme="minorHAnsi"/>
          <w:sz w:val="24"/>
          <w:szCs w:val="24"/>
          <w:lang w:val="en-US"/>
        </w:rPr>
        <w:t xml:space="preserve"> let me repeat the main points:</w:t>
      </w:r>
    </w:p>
    <w:p w14:paraId="64702DC1" w14:textId="77777777" w:rsidR="00DF426F" w:rsidRDefault="00DF426F" w:rsidP="00A47ADE">
      <w:pPr>
        <w:jc w:val="both"/>
        <w:rPr>
          <w:rFonts w:asciiTheme="minorHAnsi" w:hAnsiTheme="minorHAnsi" w:cstheme="minorHAnsi"/>
          <w:sz w:val="24"/>
          <w:szCs w:val="24"/>
          <w:lang w:val="en-US"/>
        </w:rPr>
      </w:pPr>
    </w:p>
    <w:p w14:paraId="3E9837E7" w14:textId="2B290C31" w:rsidR="0082675B" w:rsidRDefault="00DF426F" w:rsidP="00DF426F">
      <w:pPr>
        <w:pStyle w:val="Listaszerbekezds"/>
        <w:numPr>
          <w:ilvl w:val="0"/>
          <w:numId w:val="13"/>
        </w:numPr>
        <w:jc w:val="both"/>
        <w:rPr>
          <w:rFonts w:cstheme="minorHAnsi"/>
          <w:sz w:val="24"/>
          <w:szCs w:val="24"/>
        </w:rPr>
      </w:pPr>
      <w:r>
        <w:rPr>
          <w:rFonts w:cstheme="minorHAnsi"/>
          <w:sz w:val="24"/>
          <w:szCs w:val="24"/>
        </w:rPr>
        <w:t>The paper, of the great number of issues of interpretation of the provisions of Article 17 of the DSM Directive</w:t>
      </w:r>
      <w:r w:rsidR="00D44180">
        <w:rPr>
          <w:rFonts w:cstheme="minorHAnsi"/>
          <w:sz w:val="24"/>
          <w:szCs w:val="24"/>
        </w:rPr>
        <w:t>,</w:t>
      </w:r>
      <w:r>
        <w:rPr>
          <w:rFonts w:cstheme="minorHAnsi"/>
          <w:sz w:val="24"/>
          <w:szCs w:val="24"/>
        </w:rPr>
        <w:t xml:space="preserve"> only deal</w:t>
      </w:r>
      <w:r w:rsidR="00D44180">
        <w:rPr>
          <w:rFonts w:cstheme="minorHAnsi"/>
          <w:sz w:val="24"/>
          <w:szCs w:val="24"/>
        </w:rPr>
        <w:t>s</w:t>
      </w:r>
      <w:r>
        <w:rPr>
          <w:rFonts w:cstheme="minorHAnsi"/>
          <w:sz w:val="24"/>
          <w:szCs w:val="24"/>
        </w:rPr>
        <w:t xml:space="preserve"> with three, mainly in reaction to </w:t>
      </w:r>
      <w:r w:rsidR="001751E8">
        <w:rPr>
          <w:rFonts w:cstheme="minorHAnsi"/>
          <w:sz w:val="24"/>
          <w:szCs w:val="24"/>
        </w:rPr>
        <w:t>the</w:t>
      </w:r>
      <w:r w:rsidR="00544DB9">
        <w:rPr>
          <w:rFonts w:cstheme="minorHAnsi"/>
          <w:sz w:val="24"/>
          <w:szCs w:val="24"/>
        </w:rPr>
        <w:t xml:space="preserve"> </w:t>
      </w:r>
      <w:r>
        <w:rPr>
          <w:rFonts w:cstheme="minorHAnsi"/>
          <w:sz w:val="24"/>
          <w:szCs w:val="24"/>
        </w:rPr>
        <w:t>Recommendation</w:t>
      </w:r>
      <w:r w:rsidR="007105B5">
        <w:rPr>
          <w:rFonts w:cstheme="minorHAnsi"/>
          <w:sz w:val="24"/>
          <w:szCs w:val="24"/>
        </w:rPr>
        <w:t>s</w:t>
      </w:r>
      <w:r>
        <w:rPr>
          <w:rFonts w:cstheme="minorHAnsi"/>
          <w:sz w:val="24"/>
          <w:szCs w:val="24"/>
        </w:rPr>
        <w:t xml:space="preserve"> adopted by a group of European academics (with whom other European academics do not necessarily agree); namely the questions of (i) whether or not the authorization to be obtained by the OCSSPs under Article </w:t>
      </w:r>
      <w:r w:rsidR="002B0180">
        <w:rPr>
          <w:rFonts w:cstheme="minorHAnsi"/>
          <w:sz w:val="24"/>
          <w:szCs w:val="24"/>
        </w:rPr>
        <w:t>1</w:t>
      </w:r>
      <w:r>
        <w:rPr>
          <w:rFonts w:cstheme="minorHAnsi"/>
          <w:sz w:val="24"/>
          <w:szCs w:val="24"/>
        </w:rPr>
        <w:t xml:space="preserve">7(1) </w:t>
      </w:r>
      <w:r w:rsidR="00D44180">
        <w:rPr>
          <w:rFonts w:cstheme="minorHAnsi"/>
          <w:sz w:val="24"/>
          <w:szCs w:val="24"/>
        </w:rPr>
        <w:t xml:space="preserve">of the Directive </w:t>
      </w:r>
      <w:r>
        <w:rPr>
          <w:rFonts w:cstheme="minorHAnsi"/>
          <w:sz w:val="24"/>
          <w:szCs w:val="24"/>
        </w:rPr>
        <w:t>may also take the form</w:t>
      </w:r>
      <w:r w:rsidR="009B3DC5">
        <w:rPr>
          <w:rFonts w:cstheme="minorHAnsi"/>
          <w:sz w:val="24"/>
          <w:szCs w:val="24"/>
        </w:rPr>
        <w:t xml:space="preserve"> of</w:t>
      </w:r>
      <w:r>
        <w:rPr>
          <w:rFonts w:cstheme="minorHAnsi"/>
          <w:sz w:val="24"/>
          <w:szCs w:val="24"/>
        </w:rPr>
        <w:t xml:space="preserve"> </w:t>
      </w:r>
      <w:r w:rsidR="009B3DC5">
        <w:rPr>
          <w:rFonts w:cstheme="minorHAnsi"/>
          <w:sz w:val="24"/>
          <w:szCs w:val="24"/>
        </w:rPr>
        <w:t xml:space="preserve">a </w:t>
      </w:r>
      <w:r>
        <w:rPr>
          <w:rFonts w:cstheme="minorHAnsi"/>
          <w:sz w:val="24"/>
          <w:szCs w:val="24"/>
        </w:rPr>
        <w:t xml:space="preserve">legal license; (ii) whether or not the pre-blocking procedure proposed in the Recommendations </w:t>
      </w:r>
      <w:r w:rsidR="00D44180">
        <w:rPr>
          <w:rFonts w:cstheme="minorHAnsi"/>
          <w:sz w:val="24"/>
          <w:szCs w:val="24"/>
        </w:rPr>
        <w:t>would be in</w:t>
      </w:r>
      <w:r>
        <w:rPr>
          <w:rFonts w:cstheme="minorHAnsi"/>
          <w:sz w:val="24"/>
          <w:szCs w:val="24"/>
        </w:rPr>
        <w:t xml:space="preserve"> accordance with Article </w:t>
      </w:r>
      <w:r w:rsidR="002B0180">
        <w:rPr>
          <w:rFonts w:cstheme="minorHAnsi"/>
          <w:sz w:val="24"/>
          <w:szCs w:val="24"/>
        </w:rPr>
        <w:t>1</w:t>
      </w:r>
      <w:r>
        <w:rPr>
          <w:rFonts w:cstheme="minorHAnsi"/>
          <w:sz w:val="24"/>
          <w:szCs w:val="24"/>
        </w:rPr>
        <w:t>7(9) of the Directive</w:t>
      </w:r>
      <w:r w:rsidR="00D44180">
        <w:rPr>
          <w:rFonts w:cstheme="minorHAnsi"/>
          <w:sz w:val="24"/>
          <w:szCs w:val="24"/>
        </w:rPr>
        <w:t xml:space="preserve"> providing for a post-blocking effective and expeditious complaint and redress mech</w:t>
      </w:r>
      <w:r w:rsidR="00A20A3B">
        <w:rPr>
          <w:rFonts w:cstheme="minorHAnsi"/>
          <w:sz w:val="24"/>
          <w:szCs w:val="24"/>
        </w:rPr>
        <w:t>a</w:t>
      </w:r>
      <w:r w:rsidR="00D44180">
        <w:rPr>
          <w:rFonts w:cstheme="minorHAnsi"/>
          <w:sz w:val="24"/>
          <w:szCs w:val="24"/>
        </w:rPr>
        <w:t>nism</w:t>
      </w:r>
      <w:r>
        <w:rPr>
          <w:rFonts w:cstheme="minorHAnsi"/>
          <w:sz w:val="24"/>
          <w:szCs w:val="24"/>
        </w:rPr>
        <w:t xml:space="preserve">, and (iii) whether or not </w:t>
      </w:r>
      <w:r w:rsidR="0082675B">
        <w:rPr>
          <w:rFonts w:cstheme="minorHAnsi"/>
          <w:sz w:val="24"/>
          <w:szCs w:val="24"/>
        </w:rPr>
        <w:t xml:space="preserve">the second subparagraph of Article </w:t>
      </w:r>
      <w:r w:rsidR="002B0180">
        <w:rPr>
          <w:rFonts w:cstheme="minorHAnsi"/>
          <w:sz w:val="24"/>
          <w:szCs w:val="24"/>
        </w:rPr>
        <w:t>1</w:t>
      </w:r>
      <w:r w:rsidR="0082675B">
        <w:rPr>
          <w:rFonts w:cstheme="minorHAnsi"/>
          <w:sz w:val="24"/>
          <w:szCs w:val="24"/>
        </w:rPr>
        <w:t>7</w:t>
      </w:r>
      <w:r w:rsidR="009B3DC5">
        <w:rPr>
          <w:rFonts w:cstheme="minorHAnsi"/>
          <w:sz w:val="24"/>
          <w:szCs w:val="24"/>
        </w:rPr>
        <w:t>(7)</w:t>
      </w:r>
      <w:r w:rsidR="0082675B">
        <w:rPr>
          <w:rFonts w:cstheme="minorHAnsi"/>
          <w:sz w:val="24"/>
          <w:szCs w:val="24"/>
        </w:rPr>
        <w:t xml:space="preserve"> read together with Article </w:t>
      </w:r>
      <w:r w:rsidR="002B0180">
        <w:rPr>
          <w:rFonts w:cstheme="minorHAnsi"/>
          <w:sz w:val="24"/>
          <w:szCs w:val="24"/>
        </w:rPr>
        <w:t>1</w:t>
      </w:r>
      <w:r w:rsidR="0082675B">
        <w:rPr>
          <w:rFonts w:cstheme="minorHAnsi"/>
          <w:sz w:val="24"/>
          <w:szCs w:val="24"/>
        </w:rPr>
        <w:t>7(9) and recital (70) – and also taking into account the relevant norms of the Information Directive</w:t>
      </w:r>
      <w:r w:rsidR="00A20A3B">
        <w:rPr>
          <w:rFonts w:cstheme="minorHAnsi"/>
          <w:sz w:val="24"/>
          <w:szCs w:val="24"/>
        </w:rPr>
        <w:t xml:space="preserve"> -- </w:t>
      </w:r>
      <w:r w:rsidR="0082675B">
        <w:rPr>
          <w:rFonts w:cstheme="minorHAnsi"/>
          <w:sz w:val="24"/>
          <w:szCs w:val="24"/>
        </w:rPr>
        <w:t xml:space="preserve"> might be understood in a way that a special category of exceptions and limitations </w:t>
      </w:r>
      <w:r w:rsidR="00A20A3B">
        <w:rPr>
          <w:rFonts w:cstheme="minorHAnsi"/>
          <w:sz w:val="24"/>
          <w:szCs w:val="24"/>
        </w:rPr>
        <w:t>is</w:t>
      </w:r>
      <w:r w:rsidR="0082675B">
        <w:rPr>
          <w:rFonts w:cstheme="minorHAnsi"/>
          <w:sz w:val="24"/>
          <w:szCs w:val="24"/>
        </w:rPr>
        <w:t xml:space="preserve"> established as “users’ rights” to be applied </w:t>
      </w:r>
      <w:r w:rsidR="001751E8">
        <w:rPr>
          <w:rFonts w:cstheme="minorHAnsi"/>
          <w:sz w:val="24"/>
          <w:szCs w:val="24"/>
        </w:rPr>
        <w:t>“</w:t>
      </w:r>
      <w:r w:rsidR="0082675B">
        <w:rPr>
          <w:rFonts w:cstheme="minorHAnsi"/>
          <w:sz w:val="24"/>
          <w:szCs w:val="24"/>
        </w:rPr>
        <w:t>broadly</w:t>
      </w:r>
      <w:r w:rsidR="001751E8">
        <w:rPr>
          <w:rFonts w:cstheme="minorHAnsi"/>
          <w:sz w:val="24"/>
          <w:szCs w:val="24"/>
        </w:rPr>
        <w:t>”</w:t>
      </w:r>
      <w:r w:rsidR="0082675B">
        <w:rPr>
          <w:rFonts w:cstheme="minorHAnsi"/>
          <w:sz w:val="24"/>
          <w:szCs w:val="24"/>
        </w:rPr>
        <w:t>.</w:t>
      </w:r>
    </w:p>
    <w:p w14:paraId="70A57D3F" w14:textId="40212A17" w:rsidR="0082675B" w:rsidRDefault="00A8306E" w:rsidP="00DF426F">
      <w:pPr>
        <w:pStyle w:val="Listaszerbekezds"/>
        <w:numPr>
          <w:ilvl w:val="0"/>
          <w:numId w:val="13"/>
        </w:numPr>
        <w:jc w:val="both"/>
        <w:rPr>
          <w:rFonts w:cstheme="minorHAnsi"/>
          <w:sz w:val="24"/>
          <w:szCs w:val="24"/>
        </w:rPr>
      </w:pPr>
      <w:r>
        <w:rPr>
          <w:rFonts w:cstheme="minorHAnsi"/>
          <w:sz w:val="24"/>
          <w:szCs w:val="24"/>
        </w:rPr>
        <w:t>The</w:t>
      </w:r>
      <w:r w:rsidR="0082675B">
        <w:rPr>
          <w:rFonts w:cstheme="minorHAnsi"/>
          <w:sz w:val="24"/>
          <w:szCs w:val="24"/>
        </w:rPr>
        <w:t xml:space="preserve"> Recommendations suggest</w:t>
      </w:r>
      <w:r w:rsidR="007D1B3D">
        <w:rPr>
          <w:rFonts w:cstheme="minorHAnsi"/>
          <w:sz w:val="24"/>
          <w:szCs w:val="24"/>
        </w:rPr>
        <w:t>s</w:t>
      </w:r>
      <w:r w:rsidR="0082675B">
        <w:rPr>
          <w:rFonts w:cstheme="minorHAnsi"/>
          <w:sz w:val="24"/>
          <w:szCs w:val="24"/>
        </w:rPr>
        <w:t xml:space="preserve"> </w:t>
      </w:r>
      <w:r w:rsidR="00544DB9">
        <w:rPr>
          <w:rFonts w:cstheme="minorHAnsi"/>
          <w:sz w:val="24"/>
          <w:szCs w:val="24"/>
        </w:rPr>
        <w:t xml:space="preserve">affirmative </w:t>
      </w:r>
      <w:r w:rsidR="0082675B">
        <w:rPr>
          <w:rFonts w:cstheme="minorHAnsi"/>
          <w:sz w:val="24"/>
          <w:szCs w:val="24"/>
        </w:rPr>
        <w:t>answers to the three questions mentioned in point 1) above</w:t>
      </w:r>
      <w:r w:rsidR="00544DB9">
        <w:rPr>
          <w:rFonts w:cstheme="minorHAnsi"/>
          <w:sz w:val="24"/>
          <w:szCs w:val="24"/>
        </w:rPr>
        <w:t>,</w:t>
      </w:r>
      <w:r w:rsidR="0082675B">
        <w:rPr>
          <w:rFonts w:cstheme="minorHAnsi"/>
          <w:sz w:val="24"/>
          <w:szCs w:val="24"/>
        </w:rPr>
        <w:t xml:space="preserve"> </w:t>
      </w:r>
      <w:r w:rsidR="001751E8">
        <w:rPr>
          <w:rFonts w:cstheme="minorHAnsi"/>
          <w:sz w:val="24"/>
          <w:szCs w:val="24"/>
        </w:rPr>
        <w:t xml:space="preserve">which are not justified </w:t>
      </w:r>
      <w:r w:rsidR="0082675B">
        <w:rPr>
          <w:rFonts w:cstheme="minorHAnsi"/>
          <w:sz w:val="24"/>
          <w:szCs w:val="24"/>
        </w:rPr>
        <w:t xml:space="preserve">for the following reasons. </w:t>
      </w:r>
    </w:p>
    <w:p w14:paraId="17C2BC0C" w14:textId="06D86C10" w:rsidR="00A47ADE" w:rsidRPr="005F7AC9" w:rsidRDefault="0082675B" w:rsidP="005F7AC9">
      <w:pPr>
        <w:pStyle w:val="Listaszerbekezds"/>
        <w:numPr>
          <w:ilvl w:val="0"/>
          <w:numId w:val="13"/>
        </w:numPr>
        <w:jc w:val="both"/>
        <w:rPr>
          <w:rFonts w:cstheme="minorHAnsi"/>
          <w:sz w:val="24"/>
          <w:szCs w:val="24"/>
        </w:rPr>
      </w:pPr>
      <w:r w:rsidRPr="005F7AC9">
        <w:rPr>
          <w:rFonts w:cstheme="minorHAnsi"/>
          <w:sz w:val="24"/>
          <w:szCs w:val="24"/>
        </w:rPr>
        <w:t xml:space="preserve">Article </w:t>
      </w:r>
      <w:r w:rsidR="002B0180">
        <w:rPr>
          <w:rFonts w:cstheme="minorHAnsi"/>
          <w:sz w:val="24"/>
          <w:szCs w:val="24"/>
        </w:rPr>
        <w:t>1</w:t>
      </w:r>
      <w:r w:rsidRPr="005F7AC9">
        <w:rPr>
          <w:rFonts w:cstheme="minorHAnsi"/>
          <w:sz w:val="24"/>
          <w:szCs w:val="24"/>
        </w:rPr>
        <w:t>7(1) of the Directive obligates OSSC</w:t>
      </w:r>
      <w:r w:rsidR="005F7AC9" w:rsidRPr="005F7AC9">
        <w:rPr>
          <w:rFonts w:cstheme="minorHAnsi"/>
          <w:sz w:val="24"/>
          <w:szCs w:val="24"/>
        </w:rPr>
        <w:t xml:space="preserve">Ps </w:t>
      </w:r>
      <w:r w:rsidR="005F7AC9" w:rsidRPr="00544DB9">
        <w:rPr>
          <w:rFonts w:cstheme="minorHAnsi"/>
          <w:sz w:val="24"/>
          <w:szCs w:val="24"/>
        </w:rPr>
        <w:t>to</w:t>
      </w:r>
      <w:r w:rsidRPr="00544DB9">
        <w:rPr>
          <w:rFonts w:cstheme="minorHAnsi"/>
          <w:sz w:val="24"/>
          <w:szCs w:val="24"/>
        </w:rPr>
        <w:t xml:space="preserve"> </w:t>
      </w:r>
      <w:r w:rsidR="005F7AC9" w:rsidRPr="00544DB9">
        <w:rPr>
          <w:rFonts w:cstheme="minorHAnsi"/>
          <w:sz w:val="24"/>
          <w:szCs w:val="24"/>
        </w:rPr>
        <w:t xml:space="preserve">obtain authorization </w:t>
      </w:r>
      <w:r w:rsidR="005F7AC9" w:rsidRPr="00544DB9">
        <w:rPr>
          <w:rFonts w:cstheme="minorHAnsi"/>
          <w:i/>
          <w:sz w:val="24"/>
          <w:szCs w:val="24"/>
        </w:rPr>
        <w:t>from the rightholder</w:t>
      </w:r>
      <w:r w:rsidR="005F7AC9" w:rsidRPr="005F7AC9">
        <w:rPr>
          <w:rFonts w:cstheme="minorHAnsi"/>
          <w:sz w:val="24"/>
          <w:szCs w:val="24"/>
        </w:rPr>
        <w:t xml:space="preserve">s for the use of works and related rights uploaded by their users and made available to the public. The Recommendations rightly note that the authorization </w:t>
      </w:r>
      <w:r w:rsidR="001751E8">
        <w:rPr>
          <w:rFonts w:cstheme="minorHAnsi"/>
          <w:sz w:val="24"/>
          <w:szCs w:val="24"/>
        </w:rPr>
        <w:t xml:space="preserve">– </w:t>
      </w:r>
      <w:r w:rsidR="005F7AC9" w:rsidRPr="005F7AC9">
        <w:rPr>
          <w:rFonts w:cstheme="minorHAnsi"/>
          <w:sz w:val="24"/>
          <w:szCs w:val="24"/>
        </w:rPr>
        <w:t>in addition to direct licensing mentioned in the provision as an example</w:t>
      </w:r>
      <w:r w:rsidR="001751E8">
        <w:rPr>
          <w:rFonts w:cstheme="minorHAnsi"/>
          <w:sz w:val="24"/>
          <w:szCs w:val="24"/>
        </w:rPr>
        <w:t xml:space="preserve"> – </w:t>
      </w:r>
      <w:r w:rsidR="005F7AC9" w:rsidRPr="005F7AC9">
        <w:rPr>
          <w:rFonts w:cstheme="minorHAnsi"/>
          <w:sz w:val="24"/>
          <w:szCs w:val="24"/>
        </w:rPr>
        <w:t xml:space="preserve">may also take the form of collective licensing. </w:t>
      </w:r>
      <w:r w:rsidR="00A20A3B">
        <w:rPr>
          <w:rFonts w:cstheme="minorHAnsi"/>
          <w:sz w:val="24"/>
          <w:szCs w:val="24"/>
        </w:rPr>
        <w:t>In contrast</w:t>
      </w:r>
      <w:r w:rsidR="005F7AC9" w:rsidRPr="005F7AC9">
        <w:rPr>
          <w:rFonts w:cstheme="minorHAnsi"/>
          <w:sz w:val="24"/>
          <w:szCs w:val="24"/>
        </w:rPr>
        <w:t xml:space="preserve">, the thesis of the Recommendations according to which authorization may also </w:t>
      </w:r>
      <w:r w:rsidR="00A20A3B">
        <w:rPr>
          <w:rFonts w:cstheme="minorHAnsi"/>
          <w:sz w:val="24"/>
          <w:szCs w:val="24"/>
        </w:rPr>
        <w:t xml:space="preserve">be granted </w:t>
      </w:r>
      <w:r w:rsidR="005F7AC9" w:rsidRPr="005F7AC9">
        <w:rPr>
          <w:rFonts w:cstheme="minorHAnsi"/>
          <w:sz w:val="24"/>
          <w:szCs w:val="24"/>
        </w:rPr>
        <w:t>through statutory licensing is not in accordance with the text</w:t>
      </w:r>
      <w:r w:rsidR="00A8306E">
        <w:rPr>
          <w:rFonts w:cstheme="minorHAnsi"/>
          <w:sz w:val="24"/>
          <w:szCs w:val="24"/>
        </w:rPr>
        <w:t>, the context</w:t>
      </w:r>
      <w:r w:rsidR="005F7AC9" w:rsidRPr="005F7AC9">
        <w:rPr>
          <w:rFonts w:cstheme="minorHAnsi"/>
          <w:sz w:val="24"/>
          <w:szCs w:val="24"/>
        </w:rPr>
        <w:t xml:space="preserve"> and the </w:t>
      </w:r>
      <w:r w:rsidR="001751E8">
        <w:rPr>
          <w:rFonts w:cstheme="minorHAnsi"/>
          <w:sz w:val="24"/>
          <w:szCs w:val="24"/>
        </w:rPr>
        <w:t xml:space="preserve">clearly stated </w:t>
      </w:r>
      <w:r w:rsidR="005F7AC9" w:rsidRPr="005F7AC9">
        <w:rPr>
          <w:rFonts w:cstheme="minorHAnsi"/>
          <w:sz w:val="24"/>
          <w:szCs w:val="24"/>
        </w:rPr>
        <w:t xml:space="preserve">objectives of the provision of Article </w:t>
      </w:r>
      <w:r w:rsidR="002B0180">
        <w:rPr>
          <w:rFonts w:cstheme="minorHAnsi"/>
          <w:sz w:val="24"/>
          <w:szCs w:val="24"/>
        </w:rPr>
        <w:t>1</w:t>
      </w:r>
      <w:r w:rsidR="005F7AC9" w:rsidRPr="005F7AC9">
        <w:rPr>
          <w:rFonts w:cstheme="minorHAnsi"/>
          <w:sz w:val="24"/>
          <w:szCs w:val="24"/>
        </w:rPr>
        <w:t xml:space="preserve">7(1).  Authorization </w:t>
      </w:r>
      <w:r w:rsidR="005705EF">
        <w:rPr>
          <w:rFonts w:cstheme="minorHAnsi"/>
          <w:sz w:val="24"/>
          <w:szCs w:val="24"/>
        </w:rPr>
        <w:t xml:space="preserve">to be </w:t>
      </w:r>
      <w:r w:rsidR="001751E8">
        <w:rPr>
          <w:rFonts w:cstheme="minorHAnsi"/>
          <w:sz w:val="24"/>
          <w:szCs w:val="24"/>
        </w:rPr>
        <w:t>obtained from the</w:t>
      </w:r>
      <w:r w:rsidR="005F7AC9" w:rsidRPr="005F7AC9">
        <w:rPr>
          <w:rFonts w:cstheme="minorHAnsi"/>
          <w:sz w:val="24"/>
          <w:szCs w:val="24"/>
        </w:rPr>
        <w:t xml:space="preserve"> rightholders means authorization </w:t>
      </w:r>
      <w:r w:rsidR="001751E8">
        <w:rPr>
          <w:rFonts w:cstheme="minorHAnsi"/>
          <w:sz w:val="24"/>
          <w:szCs w:val="24"/>
        </w:rPr>
        <w:t xml:space="preserve">obtained from </w:t>
      </w:r>
      <w:r w:rsidR="00117DA4">
        <w:rPr>
          <w:rFonts w:cstheme="minorHAnsi"/>
          <w:sz w:val="24"/>
          <w:szCs w:val="24"/>
        </w:rPr>
        <w:t xml:space="preserve">them </w:t>
      </w:r>
      <w:r w:rsidR="001751E8">
        <w:rPr>
          <w:rFonts w:cstheme="minorHAnsi"/>
          <w:sz w:val="24"/>
          <w:szCs w:val="24"/>
        </w:rPr>
        <w:t xml:space="preserve">(or </w:t>
      </w:r>
      <w:r w:rsidR="00117DA4">
        <w:rPr>
          <w:rFonts w:cstheme="minorHAnsi"/>
          <w:sz w:val="24"/>
          <w:szCs w:val="24"/>
        </w:rPr>
        <w:t xml:space="preserve">on their </w:t>
      </w:r>
      <w:r w:rsidR="005F7AC9" w:rsidRPr="005F7AC9">
        <w:rPr>
          <w:rFonts w:cstheme="minorHAnsi"/>
          <w:sz w:val="24"/>
          <w:szCs w:val="24"/>
        </w:rPr>
        <w:t>behalf</w:t>
      </w:r>
      <w:r w:rsidR="001751E8">
        <w:rPr>
          <w:rFonts w:cstheme="minorHAnsi"/>
          <w:sz w:val="24"/>
          <w:szCs w:val="24"/>
        </w:rPr>
        <w:t>)</w:t>
      </w:r>
      <w:r w:rsidR="005F7AC9" w:rsidRPr="005F7AC9">
        <w:rPr>
          <w:rFonts w:cstheme="minorHAnsi"/>
          <w:sz w:val="24"/>
          <w:szCs w:val="24"/>
        </w:rPr>
        <w:t xml:space="preserve">; </w:t>
      </w:r>
      <w:r w:rsidR="00117DA4">
        <w:rPr>
          <w:rFonts w:cstheme="minorHAnsi"/>
          <w:sz w:val="24"/>
          <w:szCs w:val="24"/>
        </w:rPr>
        <w:t xml:space="preserve">a </w:t>
      </w:r>
      <w:r w:rsidR="005F7AC9" w:rsidRPr="005F7AC9">
        <w:rPr>
          <w:rFonts w:cstheme="minorHAnsi"/>
          <w:sz w:val="24"/>
          <w:szCs w:val="24"/>
        </w:rPr>
        <w:t>statutory licen</w:t>
      </w:r>
      <w:r w:rsidR="005705EF">
        <w:rPr>
          <w:rFonts w:cstheme="minorHAnsi"/>
          <w:sz w:val="24"/>
          <w:szCs w:val="24"/>
        </w:rPr>
        <w:t>s</w:t>
      </w:r>
      <w:r w:rsidR="00117DA4">
        <w:rPr>
          <w:rFonts w:cstheme="minorHAnsi"/>
          <w:sz w:val="24"/>
          <w:szCs w:val="24"/>
        </w:rPr>
        <w:t>e</w:t>
      </w:r>
      <w:r w:rsidR="005F7AC9" w:rsidRPr="005F7AC9">
        <w:rPr>
          <w:rFonts w:cstheme="minorHAnsi"/>
          <w:sz w:val="24"/>
          <w:szCs w:val="24"/>
        </w:rPr>
        <w:t xml:space="preserve"> is not </w:t>
      </w:r>
      <w:r w:rsidR="001751E8">
        <w:rPr>
          <w:rFonts w:cstheme="minorHAnsi"/>
          <w:sz w:val="24"/>
          <w:szCs w:val="24"/>
        </w:rPr>
        <w:t xml:space="preserve">an </w:t>
      </w:r>
      <w:r w:rsidR="005F7AC9" w:rsidRPr="005F7AC9">
        <w:rPr>
          <w:rFonts w:cstheme="minorHAnsi"/>
          <w:sz w:val="24"/>
          <w:szCs w:val="24"/>
        </w:rPr>
        <w:t xml:space="preserve">authorization </w:t>
      </w:r>
      <w:r w:rsidR="001751E8">
        <w:rPr>
          <w:rFonts w:cstheme="minorHAnsi"/>
          <w:sz w:val="24"/>
          <w:szCs w:val="24"/>
        </w:rPr>
        <w:t>obtained from the</w:t>
      </w:r>
      <w:r w:rsidR="005F7AC9" w:rsidRPr="005F7AC9">
        <w:rPr>
          <w:rFonts w:cstheme="minorHAnsi"/>
          <w:sz w:val="24"/>
          <w:szCs w:val="24"/>
        </w:rPr>
        <w:t xml:space="preserve"> rightholders</w:t>
      </w:r>
      <w:r w:rsidR="005F7AC9">
        <w:rPr>
          <w:rFonts w:cstheme="minorHAnsi"/>
          <w:sz w:val="24"/>
          <w:szCs w:val="24"/>
        </w:rPr>
        <w:t>.</w:t>
      </w:r>
      <w:r w:rsidR="00DF426F" w:rsidRPr="005F7AC9">
        <w:rPr>
          <w:rFonts w:cstheme="minorHAnsi"/>
          <w:sz w:val="24"/>
          <w:szCs w:val="24"/>
        </w:rPr>
        <w:t xml:space="preserve">  </w:t>
      </w:r>
      <w:r w:rsidR="002646AC">
        <w:rPr>
          <w:rFonts w:cstheme="minorHAnsi"/>
          <w:sz w:val="24"/>
          <w:szCs w:val="24"/>
        </w:rPr>
        <w:t>This is stated in an unmistakable manner in recital (61)</w:t>
      </w:r>
      <w:r w:rsidR="00AE5AF0">
        <w:rPr>
          <w:rFonts w:cstheme="minorHAnsi"/>
          <w:sz w:val="24"/>
          <w:szCs w:val="24"/>
        </w:rPr>
        <w:t xml:space="preserve">: </w:t>
      </w:r>
      <w:r w:rsidR="00AE5AF0" w:rsidRPr="00AE5AF0">
        <w:rPr>
          <w:rFonts w:cstheme="minorHAnsi"/>
          <w:i/>
          <w:sz w:val="24"/>
          <w:szCs w:val="24"/>
        </w:rPr>
        <w:t>“contractual freedom should not be affected</w:t>
      </w:r>
      <w:r w:rsidR="00AE5AF0">
        <w:rPr>
          <w:rFonts w:cstheme="minorHAnsi"/>
          <w:sz w:val="24"/>
          <w:szCs w:val="24"/>
        </w:rPr>
        <w:t xml:space="preserve">…, </w:t>
      </w:r>
      <w:r w:rsidR="00AE5AF0" w:rsidRPr="00AE5AF0">
        <w:rPr>
          <w:rFonts w:cstheme="minorHAnsi"/>
          <w:i/>
          <w:sz w:val="24"/>
          <w:szCs w:val="24"/>
        </w:rPr>
        <w:t xml:space="preserve">rightholders should not be obliged </w:t>
      </w:r>
      <w:r w:rsidR="00AE5AF0" w:rsidRPr="00AE5AF0">
        <w:rPr>
          <w:rFonts w:cstheme="minorHAnsi"/>
          <w:sz w:val="24"/>
          <w:szCs w:val="24"/>
        </w:rPr>
        <w:t xml:space="preserve">to give an authorization or </w:t>
      </w:r>
      <w:r w:rsidR="00AE5AF0" w:rsidRPr="00AE5AF0">
        <w:rPr>
          <w:rFonts w:cstheme="minorHAnsi"/>
          <w:i/>
          <w:sz w:val="24"/>
          <w:szCs w:val="24"/>
        </w:rPr>
        <w:t>to conclude a licensing agreement</w:t>
      </w:r>
      <w:r w:rsidR="00AE5AF0">
        <w:rPr>
          <w:rFonts w:cstheme="minorHAnsi"/>
          <w:sz w:val="24"/>
          <w:szCs w:val="24"/>
        </w:rPr>
        <w:t xml:space="preserve">.” </w:t>
      </w:r>
      <w:r w:rsidR="002646AC">
        <w:rPr>
          <w:rFonts w:cstheme="minorHAnsi"/>
          <w:sz w:val="24"/>
          <w:szCs w:val="24"/>
        </w:rPr>
        <w:t xml:space="preserve"> </w:t>
      </w:r>
      <w:r w:rsidR="00AE5AF0">
        <w:rPr>
          <w:rFonts w:cstheme="minorHAnsi"/>
          <w:sz w:val="24"/>
          <w:szCs w:val="24"/>
        </w:rPr>
        <w:t xml:space="preserve"> </w:t>
      </w:r>
      <w:r w:rsidR="00DF426F" w:rsidRPr="005F7AC9">
        <w:rPr>
          <w:rFonts w:cstheme="minorHAnsi"/>
          <w:sz w:val="24"/>
          <w:szCs w:val="24"/>
        </w:rPr>
        <w:t xml:space="preserve">     </w:t>
      </w:r>
      <w:r w:rsidR="00A47ADE" w:rsidRPr="005F7AC9">
        <w:rPr>
          <w:rFonts w:cstheme="minorHAnsi"/>
          <w:sz w:val="24"/>
          <w:szCs w:val="24"/>
        </w:rPr>
        <w:t xml:space="preserve"> </w:t>
      </w:r>
    </w:p>
    <w:p w14:paraId="24B4CA0A" w14:textId="26E23BD3" w:rsidR="00D12061" w:rsidRDefault="0080692F" w:rsidP="0080692F">
      <w:pPr>
        <w:pStyle w:val="Listaszerbekezds"/>
        <w:numPr>
          <w:ilvl w:val="0"/>
          <w:numId w:val="13"/>
        </w:numPr>
        <w:tabs>
          <w:tab w:val="left" w:pos="284"/>
        </w:tabs>
        <w:autoSpaceDE w:val="0"/>
        <w:autoSpaceDN w:val="0"/>
        <w:jc w:val="both"/>
        <w:rPr>
          <w:rFonts w:cstheme="minorHAnsi"/>
          <w:sz w:val="24"/>
          <w:szCs w:val="24"/>
        </w:rPr>
      </w:pPr>
      <w:r w:rsidRPr="0080692F">
        <w:rPr>
          <w:rFonts w:cstheme="minorHAnsi"/>
          <w:sz w:val="24"/>
          <w:szCs w:val="24"/>
        </w:rPr>
        <w:t xml:space="preserve">Article </w:t>
      </w:r>
      <w:r w:rsidR="002B0180">
        <w:rPr>
          <w:rFonts w:cstheme="minorHAnsi"/>
          <w:sz w:val="24"/>
          <w:szCs w:val="24"/>
        </w:rPr>
        <w:t>1</w:t>
      </w:r>
      <w:r w:rsidRPr="0080692F">
        <w:rPr>
          <w:rFonts w:cstheme="minorHAnsi"/>
          <w:sz w:val="24"/>
          <w:szCs w:val="24"/>
        </w:rPr>
        <w:t xml:space="preserve">7(9) of the DSM Directive provides for an effective and expeditious complaint and redress mechanism for </w:t>
      </w:r>
      <w:r w:rsidRPr="00A20A3B">
        <w:rPr>
          <w:rFonts w:cstheme="minorHAnsi"/>
          <w:i/>
          <w:sz w:val="24"/>
          <w:szCs w:val="24"/>
        </w:rPr>
        <w:t>users</w:t>
      </w:r>
      <w:r w:rsidRPr="0080692F">
        <w:rPr>
          <w:rFonts w:cstheme="minorHAnsi"/>
          <w:sz w:val="24"/>
          <w:szCs w:val="24"/>
        </w:rPr>
        <w:t xml:space="preserve"> of OCSSPs in relation to their uploads to which access </w:t>
      </w:r>
      <w:r w:rsidRPr="0080692F">
        <w:rPr>
          <w:rFonts w:cstheme="minorHAnsi"/>
          <w:i/>
          <w:sz w:val="24"/>
          <w:szCs w:val="24"/>
        </w:rPr>
        <w:t xml:space="preserve">has been </w:t>
      </w:r>
      <w:r w:rsidRPr="0080692F">
        <w:rPr>
          <w:rFonts w:cstheme="minorHAnsi"/>
          <w:sz w:val="24"/>
          <w:szCs w:val="24"/>
        </w:rPr>
        <w:t xml:space="preserve">disabled or that </w:t>
      </w:r>
      <w:r w:rsidRPr="0080692F">
        <w:rPr>
          <w:rFonts w:cstheme="minorHAnsi"/>
          <w:i/>
          <w:sz w:val="24"/>
          <w:szCs w:val="24"/>
        </w:rPr>
        <w:t>has been</w:t>
      </w:r>
      <w:r w:rsidRPr="0080692F">
        <w:rPr>
          <w:rFonts w:cstheme="minorHAnsi"/>
          <w:sz w:val="24"/>
          <w:szCs w:val="24"/>
        </w:rPr>
        <w:t xml:space="preserve"> removed</w:t>
      </w:r>
      <w:r w:rsidR="001D61F5">
        <w:rPr>
          <w:rFonts w:cstheme="minorHAnsi"/>
          <w:sz w:val="24"/>
          <w:szCs w:val="24"/>
        </w:rPr>
        <w:t xml:space="preserve"> </w:t>
      </w:r>
      <w:r w:rsidR="001D61F5" w:rsidRPr="00544DB9">
        <w:rPr>
          <w:rFonts w:cstheme="minorHAnsi"/>
          <w:i/>
          <w:sz w:val="24"/>
          <w:szCs w:val="24"/>
        </w:rPr>
        <w:t>ex ante</w:t>
      </w:r>
      <w:r w:rsidRPr="0080692F">
        <w:rPr>
          <w:rFonts w:cstheme="minorHAnsi"/>
          <w:sz w:val="24"/>
          <w:szCs w:val="24"/>
        </w:rPr>
        <w:t xml:space="preserve"> – and not for a pre-blocking preliminary procedure </w:t>
      </w:r>
      <w:r w:rsidR="00A20A3B">
        <w:rPr>
          <w:rFonts w:cstheme="minorHAnsi"/>
          <w:sz w:val="24"/>
          <w:szCs w:val="24"/>
        </w:rPr>
        <w:t xml:space="preserve">to be </w:t>
      </w:r>
      <w:r>
        <w:rPr>
          <w:rFonts w:cstheme="minorHAnsi"/>
          <w:sz w:val="24"/>
          <w:szCs w:val="24"/>
        </w:rPr>
        <w:t xml:space="preserve">carried out by the OCSSPs </w:t>
      </w:r>
      <w:r w:rsidR="00BE5CA5">
        <w:rPr>
          <w:rFonts w:cstheme="minorHAnsi"/>
          <w:sz w:val="24"/>
          <w:szCs w:val="24"/>
        </w:rPr>
        <w:t>(</w:t>
      </w:r>
      <w:r w:rsidRPr="0080692F">
        <w:rPr>
          <w:rFonts w:cstheme="minorHAnsi"/>
          <w:sz w:val="24"/>
          <w:szCs w:val="24"/>
        </w:rPr>
        <w:t>as suggested in the Recommendations</w:t>
      </w:r>
      <w:r w:rsidR="00BE5CA5">
        <w:rPr>
          <w:rFonts w:cstheme="minorHAnsi"/>
          <w:sz w:val="24"/>
          <w:szCs w:val="24"/>
        </w:rPr>
        <w:t>)</w:t>
      </w:r>
      <w:r w:rsidRPr="0080692F">
        <w:rPr>
          <w:rFonts w:cstheme="minorHAnsi"/>
          <w:sz w:val="24"/>
          <w:szCs w:val="24"/>
        </w:rPr>
        <w:t xml:space="preserve"> to clarify </w:t>
      </w:r>
      <w:r w:rsidR="001D61F5" w:rsidRPr="00544DB9">
        <w:rPr>
          <w:rFonts w:cstheme="minorHAnsi"/>
          <w:i/>
          <w:sz w:val="24"/>
          <w:szCs w:val="24"/>
        </w:rPr>
        <w:t>post fe</w:t>
      </w:r>
      <w:r w:rsidR="001D61F5">
        <w:rPr>
          <w:rFonts w:cstheme="minorHAnsi"/>
          <w:sz w:val="24"/>
          <w:szCs w:val="24"/>
        </w:rPr>
        <w:t>s</w:t>
      </w:r>
      <w:r w:rsidR="001D61F5" w:rsidRPr="00544DB9">
        <w:rPr>
          <w:rFonts w:cstheme="minorHAnsi"/>
          <w:i/>
          <w:sz w:val="24"/>
          <w:szCs w:val="24"/>
        </w:rPr>
        <w:t>ta</w:t>
      </w:r>
      <w:r w:rsidR="001D61F5">
        <w:rPr>
          <w:rFonts w:cstheme="minorHAnsi"/>
          <w:sz w:val="24"/>
          <w:szCs w:val="24"/>
        </w:rPr>
        <w:t xml:space="preserve"> </w:t>
      </w:r>
      <w:r w:rsidRPr="0080692F">
        <w:rPr>
          <w:rFonts w:cstheme="minorHAnsi"/>
          <w:sz w:val="24"/>
          <w:szCs w:val="24"/>
        </w:rPr>
        <w:t xml:space="preserve">whether </w:t>
      </w:r>
      <w:r w:rsidR="00A20A3B">
        <w:rPr>
          <w:rFonts w:cstheme="minorHAnsi"/>
          <w:sz w:val="24"/>
          <w:szCs w:val="24"/>
        </w:rPr>
        <w:t xml:space="preserve">or not </w:t>
      </w:r>
      <w:r w:rsidRPr="0080692F">
        <w:rPr>
          <w:rFonts w:cstheme="minorHAnsi"/>
          <w:sz w:val="24"/>
          <w:szCs w:val="24"/>
        </w:rPr>
        <w:t>OCSSPs are “</w:t>
      </w:r>
      <w:r w:rsidRPr="00544DB9">
        <w:rPr>
          <w:rFonts w:cstheme="minorHAnsi"/>
          <w:i/>
          <w:sz w:val="24"/>
          <w:szCs w:val="24"/>
        </w:rPr>
        <w:t>allowed</w:t>
      </w:r>
      <w:r w:rsidRPr="0080692F">
        <w:rPr>
          <w:rFonts w:cstheme="minorHAnsi"/>
          <w:sz w:val="24"/>
          <w:szCs w:val="24"/>
        </w:rPr>
        <w:t>” to disable access to</w:t>
      </w:r>
      <w:r w:rsidR="00A20A3B">
        <w:rPr>
          <w:rFonts w:cstheme="minorHAnsi"/>
          <w:sz w:val="24"/>
          <w:szCs w:val="24"/>
        </w:rPr>
        <w:t>,</w:t>
      </w:r>
      <w:r w:rsidRPr="0080692F">
        <w:rPr>
          <w:rFonts w:cstheme="minorHAnsi"/>
          <w:sz w:val="24"/>
          <w:szCs w:val="24"/>
        </w:rPr>
        <w:t xml:space="preserve"> or remove</w:t>
      </w:r>
      <w:r w:rsidR="00A20A3B">
        <w:rPr>
          <w:rFonts w:cstheme="minorHAnsi"/>
          <w:sz w:val="24"/>
          <w:szCs w:val="24"/>
        </w:rPr>
        <w:t>,</w:t>
      </w:r>
      <w:r w:rsidRPr="0080692F">
        <w:rPr>
          <w:rFonts w:cstheme="minorHAnsi"/>
          <w:sz w:val="24"/>
          <w:szCs w:val="24"/>
        </w:rPr>
        <w:t xml:space="preserve"> uploads </w:t>
      </w:r>
      <w:r w:rsidR="00117DA4">
        <w:rPr>
          <w:rFonts w:cstheme="minorHAnsi"/>
          <w:sz w:val="24"/>
          <w:szCs w:val="24"/>
        </w:rPr>
        <w:t xml:space="preserve">(which is their </w:t>
      </w:r>
      <w:r w:rsidR="00117DA4" w:rsidRPr="00544DB9">
        <w:rPr>
          <w:rFonts w:cstheme="minorHAnsi"/>
          <w:i/>
          <w:sz w:val="24"/>
          <w:szCs w:val="24"/>
        </w:rPr>
        <w:t>obligation</w:t>
      </w:r>
      <w:r w:rsidR="00117DA4">
        <w:rPr>
          <w:rFonts w:cstheme="minorHAnsi"/>
          <w:sz w:val="24"/>
          <w:szCs w:val="24"/>
        </w:rPr>
        <w:t xml:space="preserve"> under</w:t>
      </w:r>
      <w:r w:rsidRPr="0080692F">
        <w:rPr>
          <w:rFonts w:cstheme="minorHAnsi"/>
          <w:sz w:val="24"/>
          <w:szCs w:val="24"/>
        </w:rPr>
        <w:t xml:space="preserve"> Article </w:t>
      </w:r>
      <w:r w:rsidR="002B0180">
        <w:rPr>
          <w:rFonts w:cstheme="minorHAnsi"/>
          <w:sz w:val="24"/>
          <w:szCs w:val="24"/>
        </w:rPr>
        <w:t>1</w:t>
      </w:r>
      <w:r w:rsidRPr="0080692F">
        <w:rPr>
          <w:rFonts w:cstheme="minorHAnsi"/>
          <w:sz w:val="24"/>
          <w:szCs w:val="24"/>
        </w:rPr>
        <w:t>7(4)(b) and (c)</w:t>
      </w:r>
      <w:r w:rsidR="00AE5AF0">
        <w:rPr>
          <w:rFonts w:cstheme="minorHAnsi"/>
          <w:sz w:val="24"/>
          <w:szCs w:val="24"/>
        </w:rPr>
        <w:t xml:space="preserve"> if they want to avoid liability</w:t>
      </w:r>
      <w:r w:rsidR="00117DA4">
        <w:rPr>
          <w:rFonts w:cstheme="minorHAnsi"/>
          <w:sz w:val="24"/>
          <w:szCs w:val="24"/>
        </w:rPr>
        <w:t>)</w:t>
      </w:r>
      <w:r>
        <w:rPr>
          <w:rFonts w:cstheme="minorHAnsi"/>
          <w:sz w:val="24"/>
          <w:szCs w:val="24"/>
        </w:rPr>
        <w:t xml:space="preserve">. </w:t>
      </w:r>
      <w:r w:rsidR="001C31D5">
        <w:rPr>
          <w:rFonts w:cstheme="minorHAnsi"/>
          <w:sz w:val="24"/>
          <w:szCs w:val="24"/>
        </w:rPr>
        <w:t>The</w:t>
      </w:r>
      <w:r>
        <w:rPr>
          <w:rFonts w:cstheme="minorHAnsi"/>
          <w:sz w:val="24"/>
          <w:szCs w:val="24"/>
        </w:rPr>
        <w:t xml:space="preserve"> right solution </w:t>
      </w:r>
      <w:r w:rsidR="00024BDD">
        <w:rPr>
          <w:rFonts w:cstheme="minorHAnsi"/>
          <w:sz w:val="24"/>
          <w:szCs w:val="24"/>
        </w:rPr>
        <w:t xml:space="preserve">might </w:t>
      </w:r>
      <w:r w:rsidR="00A20A3B">
        <w:rPr>
          <w:rFonts w:cstheme="minorHAnsi"/>
          <w:sz w:val="24"/>
          <w:szCs w:val="24"/>
        </w:rPr>
        <w:t>be</w:t>
      </w:r>
      <w:r w:rsidR="00024BDD">
        <w:rPr>
          <w:rFonts w:cstheme="minorHAnsi"/>
          <w:sz w:val="24"/>
          <w:szCs w:val="24"/>
        </w:rPr>
        <w:t xml:space="preserve"> the elimination </w:t>
      </w:r>
      <w:r w:rsidR="001C31D5">
        <w:rPr>
          <w:rFonts w:cstheme="minorHAnsi"/>
          <w:sz w:val="24"/>
          <w:szCs w:val="24"/>
        </w:rPr>
        <w:t xml:space="preserve">from </w:t>
      </w:r>
      <w:r w:rsidR="00024BDD">
        <w:rPr>
          <w:rFonts w:cstheme="minorHAnsi"/>
          <w:sz w:val="24"/>
          <w:szCs w:val="24"/>
        </w:rPr>
        <w:t>blocking</w:t>
      </w:r>
      <w:r w:rsidR="00117DA4">
        <w:rPr>
          <w:rFonts w:cstheme="minorHAnsi"/>
          <w:sz w:val="24"/>
          <w:szCs w:val="24"/>
        </w:rPr>
        <w:t>,</w:t>
      </w:r>
      <w:r w:rsidR="00024BDD">
        <w:rPr>
          <w:rFonts w:cstheme="minorHAnsi"/>
          <w:sz w:val="24"/>
          <w:szCs w:val="24"/>
        </w:rPr>
        <w:t xml:space="preserve"> on the basis of instruction</w:t>
      </w:r>
      <w:r w:rsidR="00CC7BBD">
        <w:rPr>
          <w:rFonts w:cstheme="minorHAnsi"/>
          <w:sz w:val="24"/>
          <w:szCs w:val="24"/>
        </w:rPr>
        <w:t>s</w:t>
      </w:r>
      <w:r w:rsidR="00117DA4">
        <w:rPr>
          <w:rFonts w:cstheme="minorHAnsi"/>
          <w:sz w:val="24"/>
          <w:szCs w:val="24"/>
        </w:rPr>
        <w:t xml:space="preserve"> given</w:t>
      </w:r>
      <w:r w:rsidR="00024BDD">
        <w:rPr>
          <w:rFonts w:cstheme="minorHAnsi"/>
          <w:sz w:val="24"/>
          <w:szCs w:val="24"/>
        </w:rPr>
        <w:t xml:space="preserve"> </w:t>
      </w:r>
      <w:r w:rsidR="00024BDD" w:rsidRPr="00544DB9">
        <w:rPr>
          <w:rFonts w:cstheme="minorHAnsi"/>
          <w:i/>
          <w:sz w:val="24"/>
          <w:szCs w:val="24"/>
        </w:rPr>
        <w:t>by the rightholders</w:t>
      </w:r>
      <w:r w:rsidR="00117DA4">
        <w:rPr>
          <w:rFonts w:cstheme="minorHAnsi"/>
          <w:sz w:val="24"/>
          <w:szCs w:val="24"/>
        </w:rPr>
        <w:t>, of</w:t>
      </w:r>
      <w:r w:rsidR="00024BDD">
        <w:rPr>
          <w:rFonts w:cstheme="minorHAnsi"/>
          <w:sz w:val="24"/>
          <w:szCs w:val="24"/>
        </w:rPr>
        <w:t xml:space="preserve"> certain </w:t>
      </w:r>
      <w:r w:rsidR="00117DA4">
        <w:rPr>
          <w:rFonts w:cstheme="minorHAnsi"/>
          <w:sz w:val="24"/>
          <w:szCs w:val="24"/>
        </w:rPr>
        <w:t xml:space="preserve">uploads </w:t>
      </w:r>
      <w:r w:rsidR="00024BDD">
        <w:rPr>
          <w:rFonts w:cstheme="minorHAnsi"/>
          <w:sz w:val="24"/>
          <w:szCs w:val="24"/>
        </w:rPr>
        <w:t xml:space="preserve">in the case of which the </w:t>
      </w:r>
      <w:r w:rsidR="00117DA4">
        <w:rPr>
          <w:rFonts w:cstheme="minorHAnsi"/>
          <w:sz w:val="24"/>
          <w:szCs w:val="24"/>
        </w:rPr>
        <w:t xml:space="preserve">probability of the </w:t>
      </w:r>
      <w:r w:rsidR="00024BDD">
        <w:rPr>
          <w:rFonts w:cstheme="minorHAnsi"/>
          <w:sz w:val="24"/>
          <w:szCs w:val="24"/>
        </w:rPr>
        <w:t>applica</w:t>
      </w:r>
      <w:r w:rsidR="00117DA4">
        <w:rPr>
          <w:rFonts w:cstheme="minorHAnsi"/>
          <w:sz w:val="24"/>
          <w:szCs w:val="24"/>
        </w:rPr>
        <w:t xml:space="preserve">tion </w:t>
      </w:r>
      <w:r w:rsidR="00024BDD">
        <w:rPr>
          <w:rFonts w:cstheme="minorHAnsi"/>
          <w:sz w:val="24"/>
          <w:szCs w:val="24"/>
        </w:rPr>
        <w:t xml:space="preserve">of the exceptions listed in the second subparagraph of Article 17(7) is </w:t>
      </w:r>
      <w:r w:rsidR="00AE5AF0">
        <w:rPr>
          <w:rFonts w:cstheme="minorHAnsi"/>
          <w:sz w:val="24"/>
          <w:szCs w:val="24"/>
        </w:rPr>
        <w:t xml:space="preserve">high – </w:t>
      </w:r>
      <w:r w:rsidR="00024BDD">
        <w:rPr>
          <w:rFonts w:cstheme="minorHAnsi"/>
          <w:sz w:val="24"/>
          <w:szCs w:val="24"/>
        </w:rPr>
        <w:t xml:space="preserve">due to the </w:t>
      </w:r>
      <w:r w:rsidR="00AE5AF0">
        <w:rPr>
          <w:rFonts w:cstheme="minorHAnsi"/>
          <w:sz w:val="24"/>
          <w:szCs w:val="24"/>
        </w:rPr>
        <w:t xml:space="preserve">very </w:t>
      </w:r>
      <w:r w:rsidR="00024BDD">
        <w:rPr>
          <w:rFonts w:cstheme="minorHAnsi"/>
          <w:sz w:val="24"/>
          <w:szCs w:val="24"/>
        </w:rPr>
        <w:t>limited volume of the use</w:t>
      </w:r>
      <w:r w:rsidR="00117DA4">
        <w:rPr>
          <w:rFonts w:cstheme="minorHAnsi"/>
          <w:sz w:val="24"/>
          <w:szCs w:val="24"/>
        </w:rPr>
        <w:t xml:space="preserve"> (</w:t>
      </w:r>
      <w:r w:rsidR="00024BDD">
        <w:rPr>
          <w:rFonts w:cstheme="minorHAnsi"/>
          <w:sz w:val="24"/>
          <w:szCs w:val="24"/>
        </w:rPr>
        <w:t>far from the use of entire</w:t>
      </w:r>
      <w:r w:rsidR="00E8054B">
        <w:rPr>
          <w:rFonts w:cstheme="minorHAnsi"/>
          <w:sz w:val="24"/>
          <w:szCs w:val="24"/>
        </w:rPr>
        <w:t xml:space="preserve"> works and other protected materials</w:t>
      </w:r>
      <w:r w:rsidR="001C31D5">
        <w:rPr>
          <w:rFonts w:cstheme="minorHAnsi"/>
          <w:sz w:val="24"/>
          <w:szCs w:val="24"/>
        </w:rPr>
        <w:t xml:space="preserve"> and</w:t>
      </w:r>
      <w:r w:rsidR="00AE5AF0">
        <w:rPr>
          <w:rFonts w:cstheme="minorHAnsi"/>
          <w:sz w:val="24"/>
          <w:szCs w:val="24"/>
        </w:rPr>
        <w:t xml:space="preserve"> obviously</w:t>
      </w:r>
      <w:r w:rsidR="001C31D5">
        <w:rPr>
          <w:rFonts w:cstheme="minorHAnsi"/>
          <w:sz w:val="24"/>
          <w:szCs w:val="24"/>
        </w:rPr>
        <w:t xml:space="preserve"> with different </w:t>
      </w:r>
      <w:r w:rsidR="00AE5AF0">
        <w:rPr>
          <w:rFonts w:cstheme="minorHAnsi"/>
          <w:sz w:val="24"/>
          <w:szCs w:val="24"/>
        </w:rPr>
        <w:t xml:space="preserve">levels of </w:t>
      </w:r>
      <w:r w:rsidR="001C31D5">
        <w:rPr>
          <w:rFonts w:cstheme="minorHAnsi"/>
          <w:sz w:val="24"/>
          <w:szCs w:val="24"/>
        </w:rPr>
        <w:t xml:space="preserve">applicability depending on the nature of works and </w:t>
      </w:r>
      <w:r w:rsidR="00AE5AF0">
        <w:rPr>
          <w:rFonts w:cstheme="minorHAnsi"/>
          <w:sz w:val="24"/>
          <w:szCs w:val="24"/>
        </w:rPr>
        <w:t xml:space="preserve">other </w:t>
      </w:r>
      <w:r w:rsidR="001C31D5">
        <w:rPr>
          <w:rFonts w:cstheme="minorHAnsi"/>
          <w:sz w:val="24"/>
          <w:szCs w:val="24"/>
        </w:rPr>
        <w:t>subject matter</w:t>
      </w:r>
      <w:r w:rsidR="00117DA4">
        <w:rPr>
          <w:rFonts w:cstheme="minorHAnsi"/>
          <w:sz w:val="24"/>
          <w:szCs w:val="24"/>
        </w:rPr>
        <w:t>)</w:t>
      </w:r>
      <w:r w:rsidR="00E8054B">
        <w:rPr>
          <w:rFonts w:cstheme="minorHAnsi"/>
          <w:sz w:val="24"/>
          <w:szCs w:val="24"/>
        </w:rPr>
        <w:t xml:space="preserve">, or some other </w:t>
      </w:r>
      <w:r w:rsidR="00117DA4">
        <w:rPr>
          <w:rFonts w:cstheme="minorHAnsi"/>
          <w:sz w:val="24"/>
          <w:szCs w:val="24"/>
        </w:rPr>
        <w:t xml:space="preserve">possible </w:t>
      </w:r>
      <w:r w:rsidR="00E8054B">
        <w:rPr>
          <w:rFonts w:cstheme="minorHAnsi"/>
          <w:sz w:val="24"/>
          <w:szCs w:val="24"/>
        </w:rPr>
        <w:t>objective</w:t>
      </w:r>
      <w:r w:rsidR="001C31D5">
        <w:rPr>
          <w:rFonts w:cstheme="minorHAnsi"/>
          <w:sz w:val="24"/>
          <w:szCs w:val="24"/>
        </w:rPr>
        <w:t>ly measurable</w:t>
      </w:r>
      <w:r w:rsidR="00E8054B">
        <w:rPr>
          <w:rFonts w:cstheme="minorHAnsi"/>
          <w:sz w:val="24"/>
          <w:szCs w:val="24"/>
        </w:rPr>
        <w:t xml:space="preserve"> criteria. </w:t>
      </w:r>
      <w:r w:rsidR="00AE5AF0">
        <w:rPr>
          <w:rFonts w:cstheme="minorHAnsi"/>
          <w:sz w:val="24"/>
          <w:szCs w:val="24"/>
        </w:rPr>
        <w:t>T</w:t>
      </w:r>
      <w:r w:rsidR="00E8054B">
        <w:rPr>
          <w:rFonts w:cstheme="minorHAnsi"/>
          <w:sz w:val="24"/>
          <w:szCs w:val="24"/>
        </w:rPr>
        <w:t>his might take the form of software solution</w:t>
      </w:r>
      <w:r w:rsidR="00AE5AF0">
        <w:rPr>
          <w:rFonts w:cstheme="minorHAnsi"/>
          <w:sz w:val="24"/>
          <w:szCs w:val="24"/>
        </w:rPr>
        <w:t>s</w:t>
      </w:r>
      <w:r w:rsidR="00E8054B">
        <w:rPr>
          <w:rFonts w:cstheme="minorHAnsi"/>
          <w:sz w:val="24"/>
          <w:szCs w:val="24"/>
        </w:rPr>
        <w:t xml:space="preserve"> too. The compliant and redress mechanism would only be needed in the remaining case</w:t>
      </w:r>
      <w:r w:rsidR="00CE3BC1">
        <w:rPr>
          <w:rFonts w:cstheme="minorHAnsi"/>
          <w:sz w:val="24"/>
          <w:szCs w:val="24"/>
        </w:rPr>
        <w:t>s</w:t>
      </w:r>
      <w:r w:rsidR="00E8054B">
        <w:rPr>
          <w:rFonts w:cstheme="minorHAnsi"/>
          <w:sz w:val="24"/>
          <w:szCs w:val="24"/>
        </w:rPr>
        <w:t xml:space="preserve"> where </w:t>
      </w:r>
      <w:r w:rsidR="00CE3BC1">
        <w:rPr>
          <w:rFonts w:cstheme="minorHAnsi"/>
          <w:sz w:val="24"/>
          <w:szCs w:val="24"/>
        </w:rPr>
        <w:t xml:space="preserve">some possible </w:t>
      </w:r>
      <w:r w:rsidR="00E8054B">
        <w:rPr>
          <w:rFonts w:cstheme="minorHAnsi"/>
          <w:sz w:val="24"/>
          <w:szCs w:val="24"/>
        </w:rPr>
        <w:t xml:space="preserve">“over-blocking” might </w:t>
      </w:r>
      <w:r w:rsidR="00CE3BC1">
        <w:rPr>
          <w:rFonts w:cstheme="minorHAnsi"/>
          <w:sz w:val="24"/>
          <w:szCs w:val="24"/>
        </w:rPr>
        <w:t xml:space="preserve">still </w:t>
      </w:r>
      <w:r w:rsidR="00E8054B">
        <w:rPr>
          <w:rFonts w:cstheme="minorHAnsi"/>
          <w:sz w:val="24"/>
          <w:szCs w:val="24"/>
        </w:rPr>
        <w:t>happen</w:t>
      </w:r>
      <w:r w:rsidR="00CE3BC1">
        <w:rPr>
          <w:rFonts w:cstheme="minorHAnsi"/>
          <w:sz w:val="24"/>
          <w:szCs w:val="24"/>
        </w:rPr>
        <w:t xml:space="preserve">. </w:t>
      </w:r>
      <w:r w:rsidR="00AE5AF0">
        <w:rPr>
          <w:rFonts w:cstheme="minorHAnsi"/>
          <w:sz w:val="24"/>
          <w:szCs w:val="24"/>
        </w:rPr>
        <w:t>On</w:t>
      </w:r>
      <w:r w:rsidR="00CE3BC1">
        <w:rPr>
          <w:rFonts w:cstheme="minorHAnsi"/>
          <w:sz w:val="24"/>
          <w:szCs w:val="24"/>
        </w:rPr>
        <w:t xml:space="preserve"> the basis of </w:t>
      </w:r>
      <w:r w:rsidR="00AE5AF0">
        <w:rPr>
          <w:rFonts w:cstheme="minorHAnsi"/>
          <w:sz w:val="24"/>
          <w:szCs w:val="24"/>
        </w:rPr>
        <w:t xml:space="preserve">appropriate </w:t>
      </w:r>
      <w:r>
        <w:rPr>
          <w:rFonts w:cstheme="minorHAnsi"/>
          <w:sz w:val="24"/>
          <w:szCs w:val="24"/>
        </w:rPr>
        <w:t xml:space="preserve">agreements or MoUs </w:t>
      </w:r>
      <w:r w:rsidR="00E8054B">
        <w:rPr>
          <w:rFonts w:cstheme="minorHAnsi"/>
          <w:sz w:val="24"/>
          <w:szCs w:val="24"/>
        </w:rPr>
        <w:t xml:space="preserve">to be concluded </w:t>
      </w:r>
      <w:r w:rsidR="00AE5AF0">
        <w:rPr>
          <w:rFonts w:cstheme="minorHAnsi"/>
          <w:sz w:val="24"/>
          <w:szCs w:val="24"/>
        </w:rPr>
        <w:t xml:space="preserve">between the OCSSPs and the rightholders </w:t>
      </w:r>
      <w:r>
        <w:rPr>
          <w:rFonts w:cstheme="minorHAnsi"/>
          <w:sz w:val="24"/>
          <w:szCs w:val="24"/>
        </w:rPr>
        <w:t>for this purpose</w:t>
      </w:r>
      <w:r w:rsidR="00CE3BC1">
        <w:rPr>
          <w:rFonts w:cstheme="minorHAnsi"/>
          <w:sz w:val="24"/>
          <w:szCs w:val="24"/>
        </w:rPr>
        <w:t>, de-blocking could take place very quickly also in those cases</w:t>
      </w:r>
      <w:r w:rsidR="005705EF">
        <w:rPr>
          <w:rFonts w:cstheme="minorHAnsi"/>
          <w:sz w:val="24"/>
          <w:szCs w:val="24"/>
        </w:rPr>
        <w:t>,</w:t>
      </w:r>
      <w:r w:rsidR="00FB1B35">
        <w:rPr>
          <w:rFonts w:cstheme="minorHAnsi"/>
          <w:sz w:val="24"/>
          <w:szCs w:val="24"/>
        </w:rPr>
        <w:t xml:space="preserve"> without any limitation of the freedom of expressions</w:t>
      </w:r>
      <w:r w:rsidR="00CE3BC1">
        <w:rPr>
          <w:rFonts w:cstheme="minorHAnsi"/>
          <w:sz w:val="24"/>
          <w:szCs w:val="24"/>
        </w:rPr>
        <w:t xml:space="preserve">. </w:t>
      </w:r>
      <w:r w:rsidR="00E8054B">
        <w:rPr>
          <w:rFonts w:cstheme="minorHAnsi"/>
          <w:sz w:val="24"/>
          <w:szCs w:val="24"/>
        </w:rPr>
        <w:t xml:space="preserve"> </w:t>
      </w:r>
    </w:p>
    <w:p w14:paraId="46B7A585" w14:textId="12E2DEBA" w:rsidR="0080692F" w:rsidRPr="00D12061" w:rsidRDefault="00D12061" w:rsidP="0080692F">
      <w:pPr>
        <w:pStyle w:val="Listaszerbekezds"/>
        <w:numPr>
          <w:ilvl w:val="0"/>
          <w:numId w:val="13"/>
        </w:numPr>
        <w:tabs>
          <w:tab w:val="left" w:pos="284"/>
        </w:tabs>
        <w:autoSpaceDE w:val="0"/>
        <w:autoSpaceDN w:val="0"/>
        <w:jc w:val="both"/>
        <w:rPr>
          <w:rFonts w:cstheme="minorHAnsi"/>
          <w:sz w:val="24"/>
          <w:szCs w:val="24"/>
        </w:rPr>
      </w:pPr>
      <w:r w:rsidRPr="00D12061">
        <w:rPr>
          <w:rFonts w:eastAsia="Times New Roman" w:cstheme="minorHAnsi"/>
          <w:sz w:val="24"/>
          <w:szCs w:val="24"/>
          <w:lang w:eastAsia="hu-HU"/>
        </w:rPr>
        <w:t xml:space="preserve">Although the second subparagraph of Article </w:t>
      </w:r>
      <w:r w:rsidR="002B0180">
        <w:rPr>
          <w:rFonts w:eastAsia="Times New Roman" w:cstheme="minorHAnsi"/>
          <w:sz w:val="24"/>
          <w:szCs w:val="24"/>
          <w:lang w:eastAsia="hu-HU"/>
        </w:rPr>
        <w:t>1</w:t>
      </w:r>
      <w:r w:rsidRPr="00D12061">
        <w:rPr>
          <w:rFonts w:eastAsia="Times New Roman" w:cstheme="minorHAnsi"/>
          <w:sz w:val="24"/>
          <w:szCs w:val="24"/>
          <w:lang w:eastAsia="hu-HU"/>
        </w:rPr>
        <w:t xml:space="preserve">7(7) of the DSM Directive makes the application of certain exceptions mandatory, it does not introduce a new category of “users’ rights” to be applied “broadly”; those exceptions, as any others, are to be applied in a balanced way neither broadly nor narrowly </w:t>
      </w:r>
      <w:r w:rsidR="005705EF">
        <w:rPr>
          <w:rFonts w:eastAsia="Times New Roman" w:cstheme="minorHAnsi"/>
          <w:sz w:val="24"/>
          <w:szCs w:val="24"/>
          <w:lang w:eastAsia="hu-HU"/>
        </w:rPr>
        <w:t>in accordance with</w:t>
      </w:r>
      <w:r w:rsidRPr="00D12061">
        <w:rPr>
          <w:rFonts w:eastAsia="Times New Roman" w:cstheme="minorHAnsi"/>
          <w:sz w:val="24"/>
          <w:szCs w:val="24"/>
          <w:lang w:eastAsia="hu-HU"/>
        </w:rPr>
        <w:t xml:space="preserve"> the three-step test</w:t>
      </w:r>
      <w:r w:rsidR="00A20A3B">
        <w:rPr>
          <w:rFonts w:eastAsia="Times New Roman" w:cstheme="minorHAnsi"/>
          <w:sz w:val="24"/>
          <w:szCs w:val="24"/>
          <w:lang w:eastAsia="hu-HU"/>
        </w:rPr>
        <w:t xml:space="preserve">. </w:t>
      </w:r>
      <w:r w:rsidR="0080692F" w:rsidRPr="00D12061">
        <w:rPr>
          <w:rFonts w:cstheme="minorHAnsi"/>
          <w:sz w:val="24"/>
          <w:szCs w:val="24"/>
        </w:rPr>
        <w:t xml:space="preserve">   </w:t>
      </w:r>
    </w:p>
    <w:p w14:paraId="0E55A886" w14:textId="77777777" w:rsidR="0080692F" w:rsidRPr="0080692F" w:rsidRDefault="0080692F" w:rsidP="0080692F">
      <w:pPr>
        <w:jc w:val="both"/>
        <w:rPr>
          <w:rFonts w:ascii="Times New Roman" w:hAnsi="Times New Roman"/>
          <w:sz w:val="24"/>
          <w:szCs w:val="24"/>
          <w:lang w:val="en-US"/>
        </w:rPr>
      </w:pPr>
    </w:p>
    <w:p w14:paraId="072EE1EB" w14:textId="4877FD21" w:rsidR="00E26037" w:rsidRPr="00AE5AF0" w:rsidRDefault="00031D32" w:rsidP="00AE5AF0">
      <w:pPr>
        <w:pStyle w:val="Alcm"/>
        <w:jc w:val="both"/>
        <w:rPr>
          <w:rFonts w:asciiTheme="minorHAnsi" w:hAnsiTheme="minorHAnsi" w:cstheme="minorHAnsi"/>
          <w:w w:val="105"/>
        </w:rPr>
      </w:pPr>
      <w:r w:rsidRPr="00AE5AF0">
        <w:rPr>
          <w:rFonts w:asciiTheme="minorHAnsi" w:hAnsiTheme="minorHAnsi" w:cstheme="minorHAnsi"/>
          <w:w w:val="105"/>
        </w:rPr>
        <w:t xml:space="preserve"> </w:t>
      </w:r>
      <w:r w:rsidR="00D12061" w:rsidRPr="00AE5AF0">
        <w:rPr>
          <w:rFonts w:asciiTheme="minorHAnsi" w:hAnsiTheme="minorHAnsi" w:cstheme="minorHAnsi"/>
          <w:w w:val="105"/>
        </w:rPr>
        <w:t xml:space="preserve">Budapest, </w:t>
      </w:r>
      <w:r w:rsidR="005705EF" w:rsidRPr="00AE5AF0">
        <w:rPr>
          <w:rFonts w:asciiTheme="minorHAnsi" w:hAnsiTheme="minorHAnsi" w:cstheme="minorHAnsi"/>
          <w:w w:val="105"/>
        </w:rPr>
        <w:t xml:space="preserve">March </w:t>
      </w:r>
      <w:r w:rsidR="005E63E4">
        <w:rPr>
          <w:rFonts w:asciiTheme="minorHAnsi" w:hAnsiTheme="minorHAnsi" w:cstheme="minorHAnsi"/>
          <w:w w:val="105"/>
          <w:lang w:val="hu-HU"/>
        </w:rPr>
        <w:t>9</w:t>
      </w:r>
      <w:bookmarkStart w:id="1" w:name="_GoBack"/>
      <w:bookmarkEnd w:id="1"/>
      <w:r w:rsidR="005705EF" w:rsidRPr="00AE5AF0">
        <w:rPr>
          <w:rFonts w:asciiTheme="minorHAnsi" w:hAnsiTheme="minorHAnsi" w:cstheme="minorHAnsi"/>
          <w:w w:val="105"/>
        </w:rPr>
        <w:t xml:space="preserve">, 2020; </w:t>
      </w:r>
      <w:r w:rsidR="005705EF" w:rsidRPr="00443952">
        <w:rPr>
          <w:rFonts w:asciiTheme="minorHAnsi" w:hAnsiTheme="minorHAnsi" w:cstheme="minorHAnsi"/>
        </w:rPr>
        <w:t xml:space="preserve">a slightly corrected version of the paper originally published on my website on </w:t>
      </w:r>
      <w:r w:rsidR="00D12061" w:rsidRPr="00443952">
        <w:rPr>
          <w:rFonts w:asciiTheme="minorHAnsi" w:hAnsiTheme="minorHAnsi" w:cstheme="minorHAnsi"/>
        </w:rPr>
        <w:t>February 21, 2020.</w:t>
      </w:r>
      <w:r w:rsidR="00D12061" w:rsidRPr="00AE5AF0">
        <w:rPr>
          <w:rFonts w:asciiTheme="minorHAnsi" w:hAnsiTheme="minorHAnsi" w:cstheme="minorHAnsi"/>
          <w:w w:val="105"/>
        </w:rPr>
        <w:t xml:space="preserve"> </w:t>
      </w:r>
      <w:r w:rsidRPr="00AE5AF0">
        <w:rPr>
          <w:rFonts w:asciiTheme="minorHAnsi" w:hAnsiTheme="minorHAnsi" w:cstheme="minorHAnsi"/>
          <w:w w:val="105"/>
        </w:rPr>
        <w:t xml:space="preserve">     </w:t>
      </w:r>
      <w:r w:rsidR="00CB6569" w:rsidRPr="00AE5AF0">
        <w:rPr>
          <w:rFonts w:asciiTheme="minorHAnsi" w:hAnsiTheme="minorHAnsi" w:cstheme="minorHAnsi"/>
          <w:w w:val="105"/>
        </w:rPr>
        <w:t xml:space="preserve"> </w:t>
      </w:r>
    </w:p>
    <w:p w14:paraId="2C9DA18E" w14:textId="77777777" w:rsidR="00E26037" w:rsidRPr="00AE5AF0" w:rsidRDefault="00E26037" w:rsidP="00AE5AF0">
      <w:pPr>
        <w:pStyle w:val="Alcm"/>
        <w:jc w:val="both"/>
        <w:rPr>
          <w:rFonts w:asciiTheme="minorHAnsi" w:hAnsiTheme="minorHAnsi" w:cstheme="minorHAnsi"/>
          <w:w w:val="105"/>
        </w:rPr>
      </w:pPr>
    </w:p>
    <w:p w14:paraId="364B8C5E" w14:textId="77777777" w:rsidR="00481A6C" w:rsidRPr="00D86246" w:rsidRDefault="00BB76AA" w:rsidP="00481A6C">
      <w:pPr>
        <w:tabs>
          <w:tab w:val="left" w:pos="284"/>
        </w:tabs>
        <w:autoSpaceDE w:val="0"/>
        <w:autoSpaceDN w:val="0"/>
        <w:jc w:val="both"/>
        <w:rPr>
          <w:rFonts w:asciiTheme="minorHAnsi" w:hAnsiTheme="minorHAnsi" w:cstheme="minorHAnsi"/>
          <w:sz w:val="24"/>
          <w:szCs w:val="24"/>
          <w:lang w:val="en-US"/>
        </w:rPr>
      </w:pPr>
      <w:r>
        <w:rPr>
          <w:rFonts w:asciiTheme="minorHAnsi" w:hAnsiTheme="minorHAnsi" w:cstheme="minorHAnsi"/>
          <w:w w:val="105"/>
          <w:sz w:val="24"/>
          <w:szCs w:val="24"/>
          <w:lang w:val="en-US"/>
        </w:rPr>
        <w:t xml:space="preserve">  </w:t>
      </w:r>
      <w:r w:rsidR="00481A6C" w:rsidRPr="00D86246">
        <w:rPr>
          <w:rFonts w:asciiTheme="minorHAnsi" w:hAnsiTheme="minorHAnsi" w:cstheme="minorHAnsi"/>
          <w:w w:val="105"/>
          <w:sz w:val="24"/>
          <w:szCs w:val="24"/>
          <w:lang w:val="en-US"/>
        </w:rPr>
        <w:t xml:space="preserve"> </w:t>
      </w:r>
    </w:p>
    <w:sectPr w:rsidR="00481A6C" w:rsidRPr="00D86246">
      <w:footerReference w:type="default" r:id="rId17"/>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DED5D8" w15:done="0"/>
  <w15:commentEx w15:paraId="756E47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DED5D8" w16cid:durableId="2210FF95"/>
  <w16cid:commentId w16cid:paraId="756E47DF" w16cid:durableId="221100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7B34CB" w14:textId="77777777" w:rsidR="00A90010" w:rsidRDefault="00A90010" w:rsidP="000B2C6A">
      <w:r>
        <w:separator/>
      </w:r>
    </w:p>
  </w:endnote>
  <w:endnote w:type="continuationSeparator" w:id="0">
    <w:p w14:paraId="67BD1445" w14:textId="77777777" w:rsidR="00A90010" w:rsidRDefault="00A90010" w:rsidP="000B2C6A">
      <w:r>
        <w:continuationSeparator/>
      </w:r>
    </w:p>
  </w:endnote>
  <w:endnote w:type="continuationNotice" w:id="1">
    <w:p w14:paraId="5B92D2D7" w14:textId="77777777" w:rsidR="00A90010" w:rsidRDefault="00A900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MingLiU">
    <w:altName w:val="新細明體"/>
    <w:panose1 w:val="02020500000000000000"/>
    <w:charset w:val="88"/>
    <w:family w:val="auto"/>
    <w:notTrueType/>
    <w:pitch w:val="variable"/>
    <w:sig w:usb0="00000001" w:usb1="08080000" w:usb2="00000010" w:usb3="00000000" w:csb0="001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08293"/>
      <w:docPartObj>
        <w:docPartGallery w:val="Page Numbers (Bottom of Page)"/>
        <w:docPartUnique/>
      </w:docPartObj>
    </w:sdtPr>
    <w:sdtEndPr/>
    <w:sdtContent>
      <w:p w14:paraId="3A9EE953" w14:textId="77777777" w:rsidR="00544DB9" w:rsidRDefault="00544DB9">
        <w:pPr>
          <w:pStyle w:val="llb"/>
          <w:jc w:val="right"/>
        </w:pPr>
        <w:r>
          <w:fldChar w:fldCharType="begin"/>
        </w:r>
        <w:r>
          <w:instrText>PAGE   \* MERGEFORMAT</w:instrText>
        </w:r>
        <w:r>
          <w:fldChar w:fldCharType="separate"/>
        </w:r>
        <w:r w:rsidR="00A90010">
          <w:rPr>
            <w:noProof/>
          </w:rPr>
          <w:t>1</w:t>
        </w:r>
        <w:r>
          <w:fldChar w:fldCharType="end"/>
        </w:r>
      </w:p>
    </w:sdtContent>
  </w:sdt>
  <w:p w14:paraId="7D69F20F" w14:textId="77777777" w:rsidR="00544DB9" w:rsidRDefault="00544DB9">
    <w:pPr>
      <w:pStyle w:val="llb"/>
    </w:pPr>
  </w:p>
  <w:p w14:paraId="647832A4" w14:textId="77777777" w:rsidR="00544DB9" w:rsidRDefault="00544D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9C4BB1" w14:textId="77777777" w:rsidR="00A90010" w:rsidRDefault="00A90010" w:rsidP="000B2C6A">
      <w:r>
        <w:separator/>
      </w:r>
    </w:p>
  </w:footnote>
  <w:footnote w:type="continuationSeparator" w:id="0">
    <w:p w14:paraId="5256474B" w14:textId="77777777" w:rsidR="00A90010" w:rsidRDefault="00A90010" w:rsidP="000B2C6A">
      <w:r>
        <w:continuationSeparator/>
      </w:r>
    </w:p>
  </w:footnote>
  <w:footnote w:type="continuationNotice" w:id="1">
    <w:p w14:paraId="566EE2A8" w14:textId="77777777" w:rsidR="00A90010" w:rsidRDefault="00A90010"/>
  </w:footnote>
  <w:footnote w:id="2">
    <w:p w14:paraId="4FC1863C" w14:textId="41495782" w:rsidR="00544DB9" w:rsidRPr="004B63E9" w:rsidRDefault="00544DB9" w:rsidP="00155EBB">
      <w:pPr>
        <w:pStyle w:val="Lbjegyzetszveg"/>
        <w:jc w:val="both"/>
        <w:rPr>
          <w:i/>
        </w:rPr>
      </w:pPr>
      <w:r w:rsidRPr="00155EBB">
        <w:rPr>
          <w:rStyle w:val="Lbjegyzet-hivatkozs"/>
          <w:lang w:val="en-US"/>
        </w:rPr>
        <w:footnoteRef/>
      </w:r>
      <w:r w:rsidRPr="00155EBB">
        <w:rPr>
          <w:lang w:val="en-US"/>
        </w:rPr>
        <w:t xml:space="preserve"> </w:t>
      </w:r>
      <w:r w:rsidRPr="00155EBB">
        <w:rPr>
          <w:i/>
          <w:lang w:val="en-US"/>
        </w:rPr>
        <w:t xml:space="preserve">Mettre en bémol </w:t>
      </w:r>
      <w:r w:rsidRPr="00155EBB">
        <w:rPr>
          <w:lang w:val="en-US"/>
        </w:rPr>
        <w:t xml:space="preserve">is a quite frequently used </w:t>
      </w:r>
      <w:r>
        <w:rPr>
          <w:lang w:val="en-US"/>
        </w:rPr>
        <w:t xml:space="preserve">expression </w:t>
      </w:r>
      <w:r w:rsidRPr="00155EBB">
        <w:rPr>
          <w:lang w:val="en-US"/>
        </w:rPr>
        <w:t>in publications and presentations in French. It is an elegant way to express nuance</w:t>
      </w:r>
      <w:r>
        <w:rPr>
          <w:lang w:val="en-US"/>
        </w:rPr>
        <w:t xml:space="preserve">d differences </w:t>
      </w:r>
      <w:r w:rsidRPr="00155EBB">
        <w:rPr>
          <w:lang w:val="en-US"/>
        </w:rPr>
        <w:t>of opinion</w:t>
      </w:r>
      <w:r>
        <w:rPr>
          <w:lang w:val="en-US"/>
        </w:rPr>
        <w:t>,</w:t>
      </w:r>
      <w:r w:rsidRPr="00155EBB">
        <w:rPr>
          <w:lang w:val="en-US"/>
        </w:rPr>
        <w:t xml:space="preserve"> as is indicated by this definition: </w:t>
      </w:r>
      <w:r w:rsidRPr="00155EBB">
        <w:rPr>
          <w:i/>
          <w:lang w:val="en-US"/>
        </w:rPr>
        <w:t>„</w:t>
      </w:r>
      <w:hyperlink r:id="rId1" w:history="1">
        <w:r w:rsidRPr="00155EBB">
          <w:rPr>
            <w:rStyle w:val="Hiperhivatkozs"/>
            <w:i/>
            <w:color w:val="auto"/>
            <w:u w:val="none"/>
            <w:lang w:val="en-US"/>
          </w:rPr>
          <w:t>Atténuer</w:t>
        </w:r>
      </w:hyperlink>
      <w:r w:rsidRPr="00155EBB">
        <w:rPr>
          <w:i/>
          <w:lang w:val="en-US"/>
        </w:rPr>
        <w:t xml:space="preserve"> </w:t>
      </w:r>
      <w:hyperlink r:id="rId2" w:history="1">
        <w:r w:rsidRPr="00155EBB">
          <w:rPr>
            <w:rStyle w:val="Hiperhivatkozs"/>
            <w:i/>
            <w:color w:val="auto"/>
            <w:u w:val="none"/>
            <w:lang w:val="en-US"/>
          </w:rPr>
          <w:t>un</w:t>
        </w:r>
      </w:hyperlink>
      <w:r w:rsidRPr="00155EBB">
        <w:rPr>
          <w:i/>
          <w:lang w:val="en-US"/>
        </w:rPr>
        <w:t xml:space="preserve"> </w:t>
      </w:r>
      <w:hyperlink r:id="rId3" w:history="1">
        <w:r w:rsidRPr="00155EBB">
          <w:rPr>
            <w:rStyle w:val="Hiperhivatkozs"/>
            <w:i/>
            <w:color w:val="auto"/>
            <w:u w:val="none"/>
            <w:lang w:val="en-US"/>
          </w:rPr>
          <w:t>propos</w:t>
        </w:r>
      </w:hyperlink>
      <w:r w:rsidRPr="00155EBB">
        <w:rPr>
          <w:i/>
          <w:lang w:val="en-US"/>
        </w:rPr>
        <w:t xml:space="preserve"> </w:t>
      </w:r>
      <w:hyperlink r:id="rId4" w:history="1">
        <w:r w:rsidRPr="00155EBB">
          <w:rPr>
            <w:rStyle w:val="Hiperhivatkozs"/>
            <w:i/>
            <w:color w:val="auto"/>
            <w:u w:val="none"/>
            <w:lang w:val="en-US"/>
          </w:rPr>
          <w:t>en</w:t>
        </w:r>
      </w:hyperlink>
      <w:r w:rsidRPr="00155EBB">
        <w:rPr>
          <w:i/>
          <w:lang w:val="en-US"/>
        </w:rPr>
        <w:t xml:space="preserve"> </w:t>
      </w:r>
      <w:hyperlink r:id="rId5" w:history="1">
        <w:r w:rsidRPr="00155EBB">
          <w:rPr>
            <w:rStyle w:val="Hiperhivatkozs"/>
            <w:i/>
            <w:color w:val="auto"/>
            <w:u w:val="none"/>
            <w:lang w:val="en-US"/>
          </w:rPr>
          <w:t>y</w:t>
        </w:r>
      </w:hyperlink>
      <w:r w:rsidRPr="00155EBB">
        <w:rPr>
          <w:i/>
          <w:lang w:val="en-US"/>
        </w:rPr>
        <w:t xml:space="preserve"> </w:t>
      </w:r>
      <w:hyperlink r:id="rId6" w:history="1">
        <w:r w:rsidRPr="00155EBB">
          <w:rPr>
            <w:rStyle w:val="Hiperhivatkozs"/>
            <w:i/>
            <w:color w:val="auto"/>
            <w:u w:val="none"/>
            <w:lang w:val="en-US"/>
          </w:rPr>
          <w:t>apportant</w:t>
        </w:r>
      </w:hyperlink>
      <w:r w:rsidRPr="00155EBB">
        <w:rPr>
          <w:i/>
          <w:lang w:val="en-US"/>
        </w:rPr>
        <w:t xml:space="preserve"> une </w:t>
      </w:r>
      <w:hyperlink r:id="rId7" w:history="1">
        <w:r w:rsidRPr="00155EBB">
          <w:rPr>
            <w:rStyle w:val="Hiperhivatkozs"/>
            <w:i/>
            <w:color w:val="auto"/>
            <w:u w:val="none"/>
            <w:lang w:val="en-US"/>
          </w:rPr>
          <w:t>rectification</w:t>
        </w:r>
      </w:hyperlink>
      <w:r w:rsidRPr="00155EBB">
        <w:rPr>
          <w:i/>
          <w:lang w:val="en-US"/>
        </w:rPr>
        <w:t xml:space="preserve">, </w:t>
      </w:r>
      <w:hyperlink r:id="rId8" w:history="1">
        <w:r w:rsidRPr="00155EBB">
          <w:rPr>
            <w:rStyle w:val="Hiperhivatkozs"/>
            <w:i/>
            <w:color w:val="auto"/>
            <w:u w:val="none"/>
            <w:lang w:val="en-US"/>
          </w:rPr>
          <w:t>adoucir</w:t>
        </w:r>
      </w:hyperlink>
      <w:r w:rsidRPr="00155EBB">
        <w:rPr>
          <w:i/>
          <w:lang w:val="en-US"/>
        </w:rPr>
        <w:t xml:space="preserve"> </w:t>
      </w:r>
      <w:hyperlink r:id="rId9" w:history="1">
        <w:r w:rsidRPr="00155EBB">
          <w:rPr>
            <w:rStyle w:val="Hiperhivatkozs"/>
            <w:i/>
            <w:color w:val="auto"/>
            <w:u w:val="none"/>
            <w:lang w:val="en-US"/>
          </w:rPr>
          <w:t>l</w:t>
        </w:r>
      </w:hyperlink>
      <w:r w:rsidRPr="00155EBB">
        <w:rPr>
          <w:i/>
          <w:lang w:val="en-US"/>
        </w:rPr>
        <w:t>'</w:t>
      </w:r>
      <w:hyperlink r:id="rId10" w:history="1">
        <w:r w:rsidRPr="00155EBB">
          <w:rPr>
            <w:rStyle w:val="Hiperhivatkozs"/>
            <w:i/>
            <w:color w:val="auto"/>
            <w:u w:val="none"/>
            <w:lang w:val="en-US"/>
          </w:rPr>
          <w:t>importance</w:t>
        </w:r>
      </w:hyperlink>
      <w:r w:rsidRPr="00155EBB">
        <w:rPr>
          <w:i/>
          <w:lang w:val="en-US"/>
        </w:rPr>
        <w:t xml:space="preserve"> </w:t>
      </w:r>
      <w:hyperlink r:id="rId11" w:history="1">
        <w:r w:rsidRPr="00155EBB">
          <w:rPr>
            <w:rStyle w:val="Hiperhivatkozs"/>
            <w:i/>
            <w:color w:val="auto"/>
            <w:u w:val="none"/>
            <w:lang w:val="en-US"/>
          </w:rPr>
          <w:t>de</w:t>
        </w:r>
      </w:hyperlink>
      <w:r w:rsidRPr="00155EBB">
        <w:rPr>
          <w:i/>
          <w:lang w:val="en-US"/>
        </w:rPr>
        <w:t xml:space="preserve"> </w:t>
      </w:r>
      <w:hyperlink r:id="rId12" w:history="1">
        <w:r w:rsidRPr="00155EBB">
          <w:rPr>
            <w:rStyle w:val="Hiperhivatkozs"/>
            <w:i/>
            <w:color w:val="auto"/>
            <w:u w:val="none"/>
            <w:lang w:val="en-US"/>
          </w:rPr>
          <w:t>quelque chose</w:t>
        </w:r>
      </w:hyperlink>
      <w:r w:rsidRPr="00155EBB">
        <w:rPr>
          <w:i/>
          <w:lang w:val="en-US"/>
        </w:rPr>
        <w:t xml:space="preserve">, </w:t>
      </w:r>
      <w:hyperlink r:id="rId13" w:history="1">
        <w:r w:rsidRPr="00155EBB">
          <w:rPr>
            <w:rStyle w:val="Hiperhivatkozs"/>
            <w:i/>
            <w:color w:val="auto"/>
            <w:u w:val="none"/>
            <w:lang w:val="en-US"/>
          </w:rPr>
          <w:t>faire</w:t>
        </w:r>
      </w:hyperlink>
      <w:r w:rsidRPr="00155EBB">
        <w:rPr>
          <w:i/>
          <w:lang w:val="en-US"/>
        </w:rPr>
        <w:t xml:space="preserve"> </w:t>
      </w:r>
      <w:hyperlink r:id="rId14" w:history="1">
        <w:r w:rsidRPr="00155EBB">
          <w:rPr>
            <w:rStyle w:val="Hiperhivatkozs"/>
            <w:i/>
            <w:color w:val="auto"/>
            <w:u w:val="none"/>
            <w:lang w:val="en-US"/>
          </w:rPr>
          <w:t>preuve</w:t>
        </w:r>
      </w:hyperlink>
      <w:r w:rsidRPr="00155EBB">
        <w:rPr>
          <w:i/>
          <w:lang w:val="en-US"/>
        </w:rPr>
        <w:t xml:space="preserve"> </w:t>
      </w:r>
      <w:hyperlink r:id="rId15" w:history="1">
        <w:r w:rsidRPr="00155EBB">
          <w:rPr>
            <w:rStyle w:val="Hiperhivatkozs"/>
            <w:i/>
            <w:color w:val="auto"/>
            <w:u w:val="none"/>
            <w:lang w:val="en-US"/>
          </w:rPr>
          <w:t>de</w:t>
        </w:r>
      </w:hyperlink>
      <w:r w:rsidRPr="00155EBB">
        <w:rPr>
          <w:i/>
          <w:lang w:val="en-US"/>
        </w:rPr>
        <w:t xml:space="preserve"> </w:t>
      </w:r>
      <w:hyperlink r:id="rId16" w:history="1">
        <w:r w:rsidRPr="00155EBB">
          <w:rPr>
            <w:rStyle w:val="Hiperhivatkozs"/>
            <w:i/>
            <w:color w:val="auto"/>
            <w:u w:val="none"/>
            <w:lang w:val="en-US"/>
          </w:rPr>
          <w:t>modération</w:t>
        </w:r>
      </w:hyperlink>
      <w:r w:rsidRPr="00155EBB">
        <w:rPr>
          <w:i/>
          <w:lang w:val="en-US"/>
        </w:rPr>
        <w:t xml:space="preserve"> </w:t>
      </w:r>
      <w:hyperlink r:id="rId17" w:history="1">
        <w:r w:rsidRPr="00155EBB">
          <w:rPr>
            <w:rStyle w:val="Hiperhivatkozs"/>
            <w:i/>
            <w:color w:val="auto"/>
            <w:u w:val="none"/>
            <w:lang w:val="en-US"/>
          </w:rPr>
          <w:t>dans</w:t>
        </w:r>
      </w:hyperlink>
      <w:r w:rsidRPr="00155EBB">
        <w:rPr>
          <w:i/>
          <w:lang w:val="en-US"/>
        </w:rPr>
        <w:t xml:space="preserve"> </w:t>
      </w:r>
      <w:hyperlink r:id="rId18" w:history="1">
        <w:r w:rsidRPr="00155EBB">
          <w:rPr>
            <w:rStyle w:val="Hiperhivatkozs"/>
            <w:i/>
            <w:color w:val="auto"/>
            <w:u w:val="none"/>
            <w:lang w:val="en-US"/>
          </w:rPr>
          <w:t>ses</w:t>
        </w:r>
      </w:hyperlink>
      <w:r w:rsidRPr="00155EBB">
        <w:rPr>
          <w:i/>
          <w:lang w:val="en-US"/>
        </w:rPr>
        <w:t xml:space="preserve"> </w:t>
      </w:r>
      <w:hyperlink r:id="rId19" w:history="1">
        <w:r w:rsidRPr="00155EBB">
          <w:rPr>
            <w:rStyle w:val="Hiperhivatkozs"/>
            <w:i/>
            <w:color w:val="auto"/>
            <w:u w:val="none"/>
            <w:lang w:val="en-US"/>
          </w:rPr>
          <w:t>affirmations</w:t>
        </w:r>
      </w:hyperlink>
      <w:r w:rsidRPr="00155EBB">
        <w:rPr>
          <w:i/>
          <w:lang w:val="en-US"/>
        </w:rPr>
        <w:t xml:space="preserve">.” </w:t>
      </w:r>
      <w:r w:rsidRPr="00155EBB">
        <w:rPr>
          <w:lang w:val="en-US"/>
        </w:rPr>
        <w:t xml:space="preserve">(See at </w:t>
      </w:r>
      <w:hyperlink r:id="rId20" w:history="1">
        <w:r w:rsidRPr="00155EBB">
          <w:rPr>
            <w:rStyle w:val="Hiperhivatkozs"/>
            <w:color w:val="auto"/>
            <w:u w:val="none"/>
            <w:lang w:val="en-US"/>
          </w:rPr>
          <w:t>https://www.linternaute,fr/dictionnaire/fr/definition/mettre-un-bemol/</w:t>
        </w:r>
      </w:hyperlink>
      <w:r>
        <w:rPr>
          <w:rStyle w:val="Hiperhivatkozs"/>
          <w:color w:val="auto"/>
          <w:u w:val="none"/>
          <w:lang w:val="en-US"/>
        </w:rPr>
        <w:t>; this and also all the other webpages referred to in the paper were last visited on February 21, 2020</w:t>
      </w:r>
      <w:r w:rsidRPr="00155EBB">
        <w:rPr>
          <w:lang w:val="en-US"/>
        </w:rPr>
        <w:t xml:space="preserve">.) </w:t>
      </w:r>
      <w:r>
        <w:rPr>
          <w:lang w:val="en-US"/>
        </w:rPr>
        <w:t>T</w:t>
      </w:r>
      <w:r w:rsidRPr="00155EBB">
        <w:rPr>
          <w:lang w:val="en-US"/>
        </w:rPr>
        <w:t>here is also a specif</w:t>
      </w:r>
      <w:r>
        <w:rPr>
          <w:lang w:val="en-US"/>
        </w:rPr>
        <w:t>ic</w:t>
      </w:r>
      <w:r w:rsidRPr="00155EBB">
        <w:rPr>
          <w:lang w:val="en-US"/>
        </w:rPr>
        <w:t xml:space="preserve"> reason for which I have chosen a French expression to express that there are </w:t>
      </w:r>
      <w:r>
        <w:rPr>
          <w:lang w:val="en-US"/>
        </w:rPr>
        <w:t xml:space="preserve">differences that concern </w:t>
      </w:r>
      <w:r w:rsidRPr="00155EBB">
        <w:rPr>
          <w:lang w:val="en-US"/>
        </w:rPr>
        <w:t xml:space="preserve">more than </w:t>
      </w:r>
      <w:r>
        <w:rPr>
          <w:lang w:val="en-US"/>
        </w:rPr>
        <w:t xml:space="preserve">just </w:t>
      </w:r>
      <w:r w:rsidRPr="00155EBB">
        <w:rPr>
          <w:lang w:val="en-US"/>
        </w:rPr>
        <w:t>nuances between the regulation in Article 17 of the DSM Directive and the way of interpretation and implementation suggested in</w:t>
      </w:r>
      <w:r>
        <w:rPr>
          <w:lang w:val="en-US"/>
        </w:rPr>
        <w:t xml:space="preserve"> </w:t>
      </w:r>
      <w:r w:rsidRPr="00155EBB">
        <w:rPr>
          <w:lang w:val="en-US"/>
        </w:rPr>
        <w:t>the Recommendation</w:t>
      </w:r>
      <w:r>
        <w:rPr>
          <w:lang w:val="en-US"/>
        </w:rPr>
        <w:t xml:space="preserve"> to which the title of the paper refers</w:t>
      </w:r>
      <w:r w:rsidRPr="00155EBB">
        <w:rPr>
          <w:lang w:val="en-US"/>
        </w:rPr>
        <w:t xml:space="preserve">. It is a kind of recognition of the French contribution to the </w:t>
      </w:r>
      <w:r>
        <w:rPr>
          <w:lang w:val="en-US"/>
        </w:rPr>
        <w:t xml:space="preserve">preparation and </w:t>
      </w:r>
      <w:r w:rsidRPr="00155EBB">
        <w:rPr>
          <w:lang w:val="en-US"/>
        </w:rPr>
        <w:t>adoption of Article 17</w:t>
      </w:r>
      <w:r>
        <w:rPr>
          <w:lang w:val="en-US"/>
        </w:rPr>
        <w:t xml:space="preserve"> (previously </w:t>
      </w:r>
      <w:r w:rsidRPr="00155EBB">
        <w:rPr>
          <w:lang w:val="en-US"/>
        </w:rPr>
        <w:t>Article 13</w:t>
      </w:r>
      <w:r>
        <w:rPr>
          <w:lang w:val="en-US"/>
        </w:rPr>
        <w:t>). It</w:t>
      </w:r>
      <w:r w:rsidRPr="00155EBB">
        <w:rPr>
          <w:lang w:val="en-US"/>
        </w:rPr>
        <w:t xml:space="preserve"> is well-known that the proposal to clarify direct responsibility of „fake intermediaries” – </w:t>
      </w:r>
      <w:r>
        <w:rPr>
          <w:lang w:val="en-US"/>
        </w:rPr>
        <w:t xml:space="preserve">which in the Directive </w:t>
      </w:r>
      <w:r w:rsidRPr="00155EBB">
        <w:rPr>
          <w:lang w:val="en-US"/>
        </w:rPr>
        <w:t>receiv</w:t>
      </w:r>
      <w:r>
        <w:rPr>
          <w:lang w:val="en-US"/>
        </w:rPr>
        <w:t xml:space="preserve">ed </w:t>
      </w:r>
      <w:r w:rsidRPr="00155EBB">
        <w:rPr>
          <w:lang w:val="en-US"/>
        </w:rPr>
        <w:t xml:space="preserve">the </w:t>
      </w:r>
      <w:r>
        <w:rPr>
          <w:lang w:val="en-US"/>
        </w:rPr>
        <w:t xml:space="preserve">nicer name of </w:t>
      </w:r>
      <w:r w:rsidRPr="00375596">
        <w:rPr>
          <w:lang w:val="en-US"/>
        </w:rPr>
        <w:t>online content-sharing service providers</w:t>
      </w:r>
      <w:r>
        <w:rPr>
          <w:lang w:val="en-US"/>
        </w:rPr>
        <w:t xml:space="preserve"> (</w:t>
      </w:r>
      <w:r w:rsidRPr="00155EBB">
        <w:rPr>
          <w:lang w:val="en-US"/>
        </w:rPr>
        <w:t>OCSSP</w:t>
      </w:r>
      <w:r>
        <w:rPr>
          <w:lang w:val="en-US"/>
        </w:rPr>
        <w:t>s)</w:t>
      </w:r>
      <w:r w:rsidRPr="00155EBB">
        <w:rPr>
          <w:lang w:val="en-US"/>
        </w:rPr>
        <w:t xml:space="preserve"> –  originally emerged in France in a document prepared by Pierre Sirinelli and his team for the French Min</w:t>
      </w:r>
      <w:r>
        <w:rPr>
          <w:lang w:val="en-US"/>
        </w:rPr>
        <w:t>i</w:t>
      </w:r>
      <w:r w:rsidRPr="00155EBB">
        <w:rPr>
          <w:lang w:val="en-US"/>
        </w:rPr>
        <w:t>stry of Culture and also that the French admin</w:t>
      </w:r>
      <w:r>
        <w:rPr>
          <w:lang w:val="en-US"/>
        </w:rPr>
        <w:t>i</w:t>
      </w:r>
      <w:r w:rsidRPr="00155EBB">
        <w:rPr>
          <w:lang w:val="en-US"/>
        </w:rPr>
        <w:t>stration played a decis</w:t>
      </w:r>
      <w:r>
        <w:rPr>
          <w:lang w:val="en-US"/>
        </w:rPr>
        <w:t>i</w:t>
      </w:r>
      <w:r w:rsidRPr="00155EBB">
        <w:rPr>
          <w:lang w:val="en-US"/>
        </w:rPr>
        <w:t>ve role in the last stage of the preparatory work to maintain the remaining positive features of the draft Directive, and in particular  Article 17.</w:t>
      </w:r>
      <w:r w:rsidRPr="004B63E9">
        <w:rPr>
          <w:i/>
        </w:rPr>
        <w:t xml:space="preserve">  </w:t>
      </w:r>
    </w:p>
  </w:footnote>
  <w:footnote w:id="3">
    <w:p w14:paraId="4E478556" w14:textId="4A47598D" w:rsidR="00544DB9" w:rsidRPr="00834551" w:rsidRDefault="00544DB9" w:rsidP="00834551">
      <w:pPr>
        <w:pStyle w:val="Lbjegyzetszveg"/>
        <w:jc w:val="both"/>
        <w:rPr>
          <w:lang w:val="en-US"/>
        </w:rPr>
      </w:pPr>
      <w:r w:rsidRPr="00834551">
        <w:rPr>
          <w:rStyle w:val="Lbjegyzet-hivatkozs"/>
          <w:lang w:val="en-US"/>
        </w:rPr>
        <w:footnoteRef/>
      </w:r>
      <w:r w:rsidRPr="00834551">
        <w:rPr>
          <w:lang w:val="en-US"/>
        </w:rPr>
        <w:t xml:space="preserve"> </w:t>
      </w:r>
      <w:r>
        <w:rPr>
          <w:lang w:val="en-US"/>
        </w:rPr>
        <w:t xml:space="preserve">This choice of </w:t>
      </w:r>
      <w:r w:rsidRPr="00834551">
        <w:rPr>
          <w:lang w:val="en-US"/>
        </w:rPr>
        <w:t>German</w:t>
      </w:r>
      <w:r>
        <w:rPr>
          <w:lang w:val="en-US"/>
        </w:rPr>
        <w:t xml:space="preserve"> language - to </w:t>
      </w:r>
      <w:r w:rsidRPr="00834551">
        <w:rPr>
          <w:lang w:val="en-US"/>
        </w:rPr>
        <w:t>express my view that the suggestions of the Recommendations for a preliminary procedure to be c</w:t>
      </w:r>
      <w:r>
        <w:rPr>
          <w:lang w:val="en-US"/>
        </w:rPr>
        <w:t>a</w:t>
      </w:r>
      <w:r w:rsidRPr="00834551">
        <w:rPr>
          <w:lang w:val="en-US"/>
        </w:rPr>
        <w:t xml:space="preserve">rried out before blocking alleged infringing content do not correspond to the provisions in Article </w:t>
      </w:r>
      <w:r>
        <w:rPr>
          <w:lang w:val="en-US"/>
        </w:rPr>
        <w:t>1</w:t>
      </w:r>
      <w:r w:rsidRPr="00834551">
        <w:rPr>
          <w:lang w:val="en-US"/>
        </w:rPr>
        <w:t xml:space="preserve">7(9) on a post-blocking complaint and redress mechanism </w:t>
      </w:r>
      <w:r>
        <w:rPr>
          <w:lang w:val="en-US"/>
        </w:rPr>
        <w:t xml:space="preserve">- </w:t>
      </w:r>
      <w:r w:rsidRPr="00834551">
        <w:rPr>
          <w:lang w:val="en-US"/>
        </w:rPr>
        <w:t xml:space="preserve">is </w:t>
      </w:r>
      <w:r>
        <w:rPr>
          <w:lang w:val="en-US"/>
        </w:rPr>
        <w:t xml:space="preserve">to be </w:t>
      </w:r>
      <w:r w:rsidRPr="00834551">
        <w:rPr>
          <w:lang w:val="en-US"/>
        </w:rPr>
        <w:t>a form of recognition of the brave resi</w:t>
      </w:r>
      <w:r>
        <w:rPr>
          <w:lang w:val="en-US"/>
        </w:rPr>
        <w:t>s</w:t>
      </w:r>
      <w:r w:rsidRPr="00834551">
        <w:rPr>
          <w:lang w:val="en-US"/>
        </w:rPr>
        <w:t>tance of Axel Voss, the German r</w:t>
      </w:r>
      <w:r>
        <w:rPr>
          <w:lang w:val="en-US"/>
        </w:rPr>
        <w:t>a</w:t>
      </w:r>
      <w:r w:rsidRPr="00834551">
        <w:rPr>
          <w:lang w:val="en-US"/>
        </w:rPr>
        <w:t>pporteur in</w:t>
      </w:r>
      <w:r>
        <w:rPr>
          <w:lang w:val="en-US"/>
        </w:rPr>
        <w:t xml:space="preserve"> </w:t>
      </w:r>
      <w:r w:rsidRPr="00834551">
        <w:rPr>
          <w:lang w:val="en-US"/>
        </w:rPr>
        <w:t>the European Parliament against the hy</w:t>
      </w:r>
      <w:r>
        <w:rPr>
          <w:lang w:val="en-US"/>
        </w:rPr>
        <w:t>s</w:t>
      </w:r>
      <w:r w:rsidRPr="00834551">
        <w:rPr>
          <w:lang w:val="en-US"/>
        </w:rPr>
        <w:t>terical populist and an</w:t>
      </w:r>
      <w:r>
        <w:rPr>
          <w:lang w:val="en-US"/>
        </w:rPr>
        <w:t>a</w:t>
      </w:r>
      <w:r w:rsidRPr="00834551">
        <w:rPr>
          <w:lang w:val="en-US"/>
        </w:rPr>
        <w:t>rchist attacks against the remaining pro-</w:t>
      </w:r>
      <w:r>
        <w:rPr>
          <w:lang w:val="en-US"/>
        </w:rPr>
        <w:t>copyright</w:t>
      </w:r>
      <w:r w:rsidRPr="00834551">
        <w:rPr>
          <w:lang w:val="en-US"/>
        </w:rPr>
        <w:t xml:space="preserve"> elements </w:t>
      </w:r>
      <w:r>
        <w:rPr>
          <w:lang w:val="en-US"/>
        </w:rPr>
        <w:t>o</w:t>
      </w:r>
      <w:r w:rsidRPr="00834551">
        <w:rPr>
          <w:lang w:val="en-US"/>
        </w:rPr>
        <w:t xml:space="preserve">f the Directive.   </w:t>
      </w:r>
    </w:p>
  </w:footnote>
  <w:footnote w:id="4">
    <w:p w14:paraId="28D31068" w14:textId="77777777" w:rsidR="00544DB9" w:rsidRPr="00834551" w:rsidRDefault="00544DB9" w:rsidP="00834551">
      <w:pPr>
        <w:pStyle w:val="Lbjegyzetszveg"/>
        <w:jc w:val="both"/>
        <w:rPr>
          <w:lang w:val="en-US"/>
        </w:rPr>
      </w:pPr>
      <w:r w:rsidRPr="00834551">
        <w:rPr>
          <w:rStyle w:val="Lbjegyzet-hivatkozs"/>
          <w:lang w:val="en-US"/>
        </w:rPr>
        <w:sym w:font="Symbol" w:char="F02A"/>
      </w:r>
      <w:r w:rsidRPr="00834551">
        <w:rPr>
          <w:lang w:val="en-US"/>
        </w:rPr>
        <w:t xml:space="preserve"> </w:t>
      </w:r>
      <w:r>
        <w:rPr>
          <w:lang w:val="en-US"/>
        </w:rPr>
        <w:t xml:space="preserve">Honorary President of the Hungarian ALAI Group, </w:t>
      </w:r>
      <w:r w:rsidRPr="00834551">
        <w:rPr>
          <w:lang w:val="en-US"/>
        </w:rPr>
        <w:t xml:space="preserve">Member of the Executive Committee of ALAI, former Assistant Director General of WIPO. </w:t>
      </w:r>
      <w:r>
        <w:rPr>
          <w:lang w:val="en-US"/>
        </w:rPr>
        <w:t xml:space="preserve">The views expressed in this paper are mine; they are not necessarily in accordance with the position of the organizations in which I am a member or for which I work or used to work.     </w:t>
      </w:r>
      <w:r w:rsidRPr="00834551">
        <w:rPr>
          <w:lang w:val="en-US"/>
        </w:rPr>
        <w:t xml:space="preserve"> </w:t>
      </w:r>
    </w:p>
  </w:footnote>
  <w:footnote w:id="5">
    <w:p w14:paraId="4429294B" w14:textId="77777777" w:rsidR="00544DB9" w:rsidRDefault="00544DB9" w:rsidP="00834551">
      <w:pPr>
        <w:pStyle w:val="Lbjegyzetszveg"/>
        <w:jc w:val="both"/>
        <w:rPr>
          <w:lang w:val="en-US"/>
        </w:rPr>
      </w:pPr>
      <w:r w:rsidRPr="00834551">
        <w:rPr>
          <w:rStyle w:val="Lbjegyzet-hivatkozs"/>
          <w:lang w:val="en-US"/>
        </w:rPr>
        <w:footnoteRef/>
      </w:r>
      <w:r w:rsidRPr="00834551">
        <w:rPr>
          <w:lang w:val="en-US"/>
        </w:rPr>
        <w:t xml:space="preserve"> </w:t>
      </w:r>
      <w:r>
        <w:rPr>
          <w:lang w:val="en-US"/>
        </w:rPr>
        <w:t>For example, The Times, one of the most recognized British newspapers, reported on August 6, 2018, which was in a period when the attacks against the draft Directive seemed to be successful, as follows:</w:t>
      </w:r>
    </w:p>
    <w:p w14:paraId="7A21EEF8" w14:textId="77777777" w:rsidR="00544DB9" w:rsidRPr="00C020A0" w:rsidRDefault="00544DB9" w:rsidP="00C020A0">
      <w:pPr>
        <w:pStyle w:val="responsivewebparagraph-sc-1isfdlb-0"/>
        <w:spacing w:before="0" w:beforeAutospacing="0" w:after="0" w:afterAutospacing="0"/>
        <w:ind w:left="284"/>
        <w:jc w:val="both"/>
        <w:rPr>
          <w:rFonts w:asciiTheme="minorHAnsi" w:hAnsiTheme="minorHAnsi" w:cstheme="minorHAnsi"/>
          <w:sz w:val="20"/>
          <w:szCs w:val="20"/>
          <w:lang w:val="en-US"/>
        </w:rPr>
      </w:pPr>
      <w:r w:rsidRPr="00C020A0">
        <w:rPr>
          <w:rFonts w:asciiTheme="minorHAnsi" w:hAnsiTheme="minorHAnsi" w:cstheme="minorHAnsi"/>
          <w:sz w:val="20"/>
          <w:szCs w:val="20"/>
          <w:lang w:val="en-US"/>
        </w:rPr>
        <w:t>Google is helping to fund a website that encourages people to spam politicians and newspapers with automated messages backing its policy goals.</w:t>
      </w:r>
    </w:p>
    <w:p w14:paraId="02D9A04D" w14:textId="77777777" w:rsidR="00544DB9" w:rsidRPr="00E20668" w:rsidRDefault="00544DB9" w:rsidP="00E20668">
      <w:pPr>
        <w:pStyle w:val="responsivewebparagraph-sc-1isfdlb-0"/>
        <w:spacing w:before="0" w:beforeAutospacing="0" w:after="0" w:afterAutospacing="0"/>
        <w:ind w:left="284"/>
        <w:jc w:val="both"/>
        <w:rPr>
          <w:rFonts w:asciiTheme="minorHAnsi" w:hAnsiTheme="minorHAnsi" w:cstheme="minorHAnsi"/>
          <w:sz w:val="20"/>
          <w:szCs w:val="20"/>
          <w:lang w:val="en-US"/>
        </w:rPr>
      </w:pPr>
      <w:r w:rsidRPr="00C020A0">
        <w:rPr>
          <w:rFonts w:asciiTheme="minorHAnsi" w:hAnsiTheme="minorHAnsi" w:cstheme="minorHAnsi"/>
          <w:sz w:val="20"/>
          <w:szCs w:val="20"/>
          <w:lang w:val="en-US"/>
        </w:rPr>
        <w:t>The campaigning site is intended to amplify the extent of public support for policies that benefit Silicon Valley</w:t>
      </w:r>
      <w:r>
        <w:rPr>
          <w:rFonts w:asciiTheme="minorHAnsi" w:hAnsiTheme="minorHAnsi" w:cstheme="minorHAnsi"/>
          <w:sz w:val="20"/>
          <w:szCs w:val="20"/>
          <w:lang w:val="en-US"/>
        </w:rPr>
        <w:t>…</w:t>
      </w:r>
      <w:r w:rsidRPr="00C020A0">
        <w:rPr>
          <w:rFonts w:asciiTheme="minorHAnsi" w:hAnsiTheme="minorHAnsi" w:cstheme="minorHAnsi"/>
          <w:sz w:val="20"/>
          <w:szCs w:val="20"/>
          <w:lang w:val="en-US"/>
        </w:rPr>
        <w:t xml:space="preserve"> The tools were recently used to bombard MEPs with phone calls opposing EU proposals to </w:t>
      </w:r>
      <w:r w:rsidRPr="00E20668">
        <w:rPr>
          <w:rFonts w:asciiTheme="minorHAnsi" w:hAnsiTheme="minorHAnsi" w:cstheme="minorHAnsi"/>
          <w:sz w:val="20"/>
          <w:szCs w:val="20"/>
          <w:lang w:val="en-US"/>
        </w:rPr>
        <w:t xml:space="preserve">introduce tighter online copyright rules. The proposed legislation was rejected by the European parliament last month after a lobbying campaign led by Google and Facebook. </w:t>
      </w:r>
    </w:p>
    <w:p w14:paraId="71E7555A" w14:textId="77777777" w:rsidR="00544DB9" w:rsidRPr="00E20668" w:rsidRDefault="00544DB9" w:rsidP="00E20668">
      <w:pPr>
        <w:pStyle w:val="responsivewebparagraph-sc-1isfdlb-0"/>
        <w:spacing w:before="0" w:beforeAutospacing="0" w:after="0" w:afterAutospacing="0"/>
        <w:ind w:left="284"/>
        <w:jc w:val="both"/>
        <w:rPr>
          <w:rFonts w:asciiTheme="minorHAnsi" w:hAnsiTheme="minorHAnsi" w:cstheme="minorHAnsi"/>
          <w:sz w:val="20"/>
          <w:szCs w:val="20"/>
          <w:lang w:val="en-US"/>
        </w:rPr>
      </w:pPr>
      <w:r w:rsidRPr="00E20668">
        <w:rPr>
          <w:rFonts w:asciiTheme="minorHAnsi" w:hAnsiTheme="minorHAnsi" w:cstheme="minorHAnsi"/>
          <w:sz w:val="20"/>
          <w:szCs w:val="20"/>
          <w:lang w:val="en-US"/>
        </w:rPr>
        <w:t xml:space="preserve">(See at </w:t>
      </w:r>
      <w:hyperlink r:id="rId21" w:history="1">
        <w:r w:rsidRPr="00E20668">
          <w:rPr>
            <w:rStyle w:val="Hiperhivatkozs"/>
            <w:rFonts w:asciiTheme="minorHAnsi" w:hAnsiTheme="minorHAnsi" w:cstheme="minorHAnsi"/>
            <w:color w:val="auto"/>
            <w:sz w:val="20"/>
            <w:szCs w:val="20"/>
            <w:u w:val="none"/>
            <w:lang w:val="en-US"/>
          </w:rPr>
          <w:t>https://www.thetimes.co.uk</w:t>
        </w:r>
      </w:hyperlink>
      <w:r w:rsidRPr="00E20668">
        <w:rPr>
          <w:rFonts w:asciiTheme="minorHAnsi" w:hAnsiTheme="minorHAnsi" w:cstheme="minorHAnsi"/>
          <w:sz w:val="20"/>
          <w:szCs w:val="20"/>
          <w:lang w:val="en-US"/>
        </w:rPr>
        <w:t>/article/google-funds_activist-site-that-pushed-its-views_rg25cr6t.)</w:t>
      </w:r>
    </w:p>
  </w:footnote>
  <w:footnote w:id="6">
    <w:p w14:paraId="7773ABE9" w14:textId="77777777" w:rsidR="00E20668" w:rsidRPr="00765EBF" w:rsidRDefault="00544DB9" w:rsidP="00765EBF">
      <w:pPr>
        <w:pStyle w:val="Lbjegyzetszveg"/>
        <w:jc w:val="both"/>
        <w:rPr>
          <w:rFonts w:asciiTheme="minorHAnsi" w:hAnsiTheme="minorHAnsi" w:cstheme="minorHAnsi"/>
          <w:lang w:val="en-US"/>
        </w:rPr>
      </w:pPr>
      <w:r w:rsidRPr="00E20668">
        <w:rPr>
          <w:rStyle w:val="Lbjegyzet-hivatkozs"/>
          <w:rFonts w:asciiTheme="minorHAnsi" w:hAnsiTheme="minorHAnsi" w:cstheme="minorHAnsi"/>
          <w:lang w:val="en-US"/>
        </w:rPr>
        <w:footnoteRef/>
      </w:r>
      <w:r w:rsidRPr="00E20668">
        <w:rPr>
          <w:rFonts w:asciiTheme="minorHAnsi" w:hAnsiTheme="minorHAnsi" w:cstheme="minorHAnsi"/>
          <w:lang w:val="en-US"/>
        </w:rPr>
        <w:t xml:space="preserve"> </w:t>
      </w:r>
      <w:r w:rsidRPr="00765EBF">
        <w:rPr>
          <w:rFonts w:asciiTheme="minorHAnsi" w:hAnsiTheme="minorHAnsi" w:cstheme="minorHAnsi"/>
          <w:lang w:val="en-US"/>
        </w:rPr>
        <w:t>See, for example,</w:t>
      </w:r>
      <w:r w:rsidR="0042459A" w:rsidRPr="00765EBF">
        <w:rPr>
          <w:rFonts w:asciiTheme="minorHAnsi" w:hAnsiTheme="minorHAnsi" w:cstheme="minorHAnsi"/>
          <w:lang w:val="en-US"/>
        </w:rPr>
        <w:t xml:space="preserve"> the articles and studies published</w:t>
      </w:r>
    </w:p>
    <w:p w14:paraId="0C93BF8A" w14:textId="3E75AFC4" w:rsidR="00037926" w:rsidRPr="00037926" w:rsidRDefault="00296E3B" w:rsidP="00037926">
      <w:pPr>
        <w:ind w:left="284"/>
        <w:jc w:val="both"/>
        <w:outlineLvl w:val="4"/>
        <w:rPr>
          <w:rFonts w:asciiTheme="minorHAnsi" w:eastAsia="Times New Roman" w:hAnsiTheme="minorHAnsi" w:cstheme="minorHAnsi"/>
          <w:sz w:val="20"/>
          <w:szCs w:val="20"/>
          <w:lang w:eastAsia="hu-HU"/>
        </w:rPr>
      </w:pPr>
      <w:r>
        <w:rPr>
          <w:rFonts w:asciiTheme="minorHAnsi" w:hAnsiTheme="minorHAnsi" w:cstheme="minorHAnsi"/>
          <w:sz w:val="20"/>
          <w:szCs w:val="20"/>
          <w:lang w:val="en-US"/>
        </w:rPr>
        <w:t xml:space="preserve">   </w:t>
      </w:r>
      <w:r w:rsidR="00E20668" w:rsidRPr="00765EBF">
        <w:rPr>
          <w:rFonts w:asciiTheme="minorHAnsi" w:hAnsiTheme="minorHAnsi" w:cstheme="minorHAnsi"/>
          <w:sz w:val="20"/>
          <w:szCs w:val="20"/>
          <w:lang w:val="en-US"/>
        </w:rPr>
        <w:t xml:space="preserve">(i) </w:t>
      </w:r>
      <w:r w:rsidR="00E20668" w:rsidRPr="00296E3B">
        <w:rPr>
          <w:rFonts w:asciiTheme="minorHAnsi" w:hAnsiTheme="minorHAnsi" w:cstheme="minorHAnsi"/>
          <w:i/>
          <w:sz w:val="20"/>
          <w:szCs w:val="20"/>
          <w:lang w:val="en-US"/>
        </w:rPr>
        <w:t>in the Wall Street Journal</w:t>
      </w:r>
      <w:r w:rsidR="00E20668" w:rsidRPr="00765EBF">
        <w:rPr>
          <w:rFonts w:asciiTheme="minorHAnsi" w:hAnsiTheme="minorHAnsi" w:cstheme="minorHAnsi"/>
          <w:sz w:val="20"/>
          <w:szCs w:val="20"/>
          <w:lang w:val="en-US"/>
        </w:rPr>
        <w:t xml:space="preserve">: </w:t>
      </w:r>
      <w:r w:rsidR="0042459A" w:rsidRPr="00765EBF">
        <w:rPr>
          <w:rFonts w:asciiTheme="minorHAnsi" w:hAnsiTheme="minorHAnsi" w:cstheme="minorHAnsi"/>
          <w:sz w:val="20"/>
          <w:szCs w:val="20"/>
          <w:lang w:val="en-US"/>
        </w:rPr>
        <w:t xml:space="preserve"> </w:t>
      </w:r>
      <w:r w:rsidR="00765EBF">
        <w:rPr>
          <w:rFonts w:asciiTheme="minorHAnsi" w:hAnsiTheme="minorHAnsi" w:cstheme="minorHAnsi"/>
          <w:sz w:val="20"/>
          <w:szCs w:val="20"/>
          <w:lang w:val="en-US"/>
        </w:rPr>
        <w:t>“</w:t>
      </w:r>
      <w:r w:rsidR="00765EBF" w:rsidRPr="004559CC">
        <w:rPr>
          <w:rFonts w:asciiTheme="minorHAnsi" w:eastAsia="Times New Roman" w:hAnsiTheme="minorHAnsi" w:cstheme="minorHAnsi"/>
          <w:bCs/>
          <w:i/>
          <w:sz w:val="20"/>
          <w:szCs w:val="20"/>
          <w:lang w:eastAsia="hu-HU"/>
        </w:rPr>
        <w:t xml:space="preserve">Hidden Influence. </w:t>
      </w:r>
      <w:r w:rsidR="00765EBF" w:rsidRPr="004559CC">
        <w:rPr>
          <w:rFonts w:asciiTheme="minorHAnsi" w:eastAsia="Times New Roman" w:hAnsiTheme="minorHAnsi" w:cstheme="minorHAnsi"/>
          <w:bCs/>
          <w:i/>
          <w:kern w:val="36"/>
          <w:sz w:val="20"/>
          <w:szCs w:val="20"/>
          <w:lang w:eastAsia="hu-HU"/>
        </w:rPr>
        <w:t>Paying Professors: Inside Google’s Academic Influence Campaign</w:t>
      </w:r>
      <w:r w:rsidR="00765EBF" w:rsidRPr="00765EBF">
        <w:rPr>
          <w:rFonts w:asciiTheme="minorHAnsi" w:eastAsia="Times New Roman" w:hAnsiTheme="minorHAnsi" w:cstheme="minorHAnsi"/>
          <w:bCs/>
          <w:kern w:val="36"/>
          <w:sz w:val="20"/>
          <w:szCs w:val="20"/>
          <w:lang w:eastAsia="hu-HU"/>
        </w:rPr>
        <w:t xml:space="preserve">” at </w:t>
      </w:r>
      <w:hyperlink r:id="rId22" w:history="1">
        <w:r w:rsidR="00765EBF" w:rsidRPr="00765EBF">
          <w:rPr>
            <w:rStyle w:val="Hiperhivatkozs"/>
            <w:rFonts w:asciiTheme="minorHAnsi" w:eastAsia="Times New Roman" w:hAnsiTheme="minorHAnsi" w:cstheme="minorHAnsi"/>
            <w:bCs/>
            <w:color w:val="auto"/>
            <w:kern w:val="36"/>
            <w:sz w:val="20"/>
            <w:szCs w:val="20"/>
            <w:u w:val="none"/>
            <w:lang w:eastAsia="hu-HU"/>
          </w:rPr>
          <w:t>https://www.wsj.com/articles/paying-professors-inside-googles-academic-influence-campaign-1499785286</w:t>
        </w:r>
      </w:hyperlink>
      <w:r w:rsidR="00765EBF" w:rsidRPr="00765EBF">
        <w:rPr>
          <w:rFonts w:asciiTheme="minorHAnsi" w:eastAsia="Times New Roman" w:hAnsiTheme="minorHAnsi" w:cstheme="minorHAnsi"/>
          <w:bCs/>
          <w:kern w:val="36"/>
          <w:sz w:val="20"/>
          <w:szCs w:val="20"/>
          <w:lang w:eastAsia="hu-HU"/>
        </w:rPr>
        <w:t xml:space="preserve">. </w:t>
      </w:r>
      <w:r w:rsidR="00037926">
        <w:rPr>
          <w:rFonts w:asciiTheme="minorHAnsi" w:eastAsia="Times New Roman" w:hAnsiTheme="minorHAnsi" w:cstheme="minorHAnsi"/>
          <w:bCs/>
          <w:kern w:val="36"/>
          <w:sz w:val="20"/>
          <w:szCs w:val="20"/>
          <w:lang w:eastAsia="hu-HU"/>
        </w:rPr>
        <w:t>The deatailed article referred to what a former Google lobbyist had said; namely that Google „</w:t>
      </w:r>
      <w:r w:rsidR="00037926" w:rsidRPr="00037926">
        <w:rPr>
          <w:rFonts w:asciiTheme="minorHAnsi" w:eastAsia="Times New Roman" w:hAnsiTheme="minorHAnsi" w:cstheme="minorHAnsi"/>
          <w:sz w:val="20"/>
          <w:szCs w:val="20"/>
          <w:lang w:eastAsia="hu-HU"/>
        </w:rPr>
        <w:t>compiled wish lists of academic papers that included working titles, abstracts and budgets for each proposed paper—then they searched for willing authors</w:t>
      </w:r>
      <w:r w:rsidR="00037926">
        <w:rPr>
          <w:rFonts w:asciiTheme="minorHAnsi" w:eastAsia="Times New Roman" w:hAnsiTheme="minorHAnsi" w:cstheme="minorHAnsi"/>
          <w:sz w:val="20"/>
          <w:szCs w:val="20"/>
          <w:lang w:eastAsia="hu-HU"/>
        </w:rPr>
        <w:t xml:space="preserve">”. </w:t>
      </w:r>
      <w:r w:rsidR="00037926" w:rsidRPr="00037926">
        <w:rPr>
          <w:rFonts w:asciiTheme="minorHAnsi" w:eastAsia="Times New Roman" w:hAnsiTheme="minorHAnsi" w:cstheme="minorHAnsi"/>
          <w:sz w:val="20"/>
          <w:szCs w:val="20"/>
          <w:lang w:eastAsia="hu-HU"/>
        </w:rPr>
        <w:t xml:space="preserve"> </w:t>
      </w:r>
    </w:p>
    <w:p w14:paraId="721DEE2A" w14:textId="43E4C2D3" w:rsidR="00037926" w:rsidRPr="00037926" w:rsidRDefault="00296E3B" w:rsidP="00037926">
      <w:pPr>
        <w:pStyle w:val="Lbjegyzetszveg"/>
        <w:ind w:left="284"/>
        <w:jc w:val="both"/>
        <w:rPr>
          <w:rFonts w:asciiTheme="minorHAnsi" w:hAnsiTheme="minorHAnsi" w:cstheme="minorHAnsi"/>
          <w:lang w:val="en-US"/>
        </w:rPr>
      </w:pPr>
      <w:r>
        <w:rPr>
          <w:rFonts w:asciiTheme="minorHAnsi" w:eastAsia="Times New Roman" w:hAnsiTheme="minorHAnsi" w:cstheme="minorHAnsi"/>
          <w:bCs/>
          <w:kern w:val="36"/>
          <w:lang w:eastAsia="hu-HU"/>
        </w:rPr>
        <w:t xml:space="preserve">   </w:t>
      </w:r>
      <w:r w:rsidR="00037926">
        <w:rPr>
          <w:rFonts w:asciiTheme="minorHAnsi" w:eastAsia="Times New Roman" w:hAnsiTheme="minorHAnsi" w:cstheme="minorHAnsi"/>
          <w:bCs/>
          <w:kern w:val="36"/>
          <w:lang w:eastAsia="hu-HU"/>
        </w:rPr>
        <w:t>(ii</w:t>
      </w:r>
      <w:r w:rsidR="00037926" w:rsidRPr="00296E3B">
        <w:rPr>
          <w:rFonts w:asciiTheme="minorHAnsi" w:eastAsia="Times New Roman" w:hAnsiTheme="minorHAnsi" w:cstheme="minorHAnsi"/>
          <w:bCs/>
          <w:i/>
          <w:kern w:val="36"/>
          <w:lang w:eastAsia="hu-HU"/>
        </w:rPr>
        <w:t>) in the Los Angeles Times</w:t>
      </w:r>
      <w:r w:rsidR="00037926" w:rsidRPr="00037926">
        <w:rPr>
          <w:rFonts w:asciiTheme="minorHAnsi" w:eastAsia="Times New Roman" w:hAnsiTheme="minorHAnsi" w:cstheme="minorHAnsi"/>
          <w:bCs/>
          <w:kern w:val="36"/>
          <w:lang w:eastAsia="hu-HU"/>
        </w:rPr>
        <w:t xml:space="preserve">: </w:t>
      </w:r>
      <w:r w:rsidR="00037926" w:rsidRPr="00037926">
        <w:rPr>
          <w:rFonts w:asciiTheme="minorHAnsi" w:hAnsiTheme="minorHAnsi" w:cstheme="minorHAnsi"/>
          <w:lang w:val="en-US"/>
        </w:rPr>
        <w:t>„</w:t>
      </w:r>
      <w:r w:rsidR="00037926" w:rsidRPr="004559CC">
        <w:rPr>
          <w:rFonts w:asciiTheme="minorHAnsi" w:hAnsiTheme="minorHAnsi" w:cstheme="minorHAnsi"/>
          <w:i/>
          <w:lang w:val="en-US"/>
        </w:rPr>
        <w:t>Has Google paid off an army of academic researchers</w:t>
      </w:r>
      <w:r w:rsidR="00037926" w:rsidRPr="00037926">
        <w:rPr>
          <w:rFonts w:asciiTheme="minorHAnsi" w:hAnsiTheme="minorHAnsi" w:cstheme="minorHAnsi"/>
          <w:lang w:val="en-US"/>
        </w:rPr>
        <w:t>?” available at</w:t>
      </w:r>
    </w:p>
    <w:p w14:paraId="13E1A94D" w14:textId="0146C476" w:rsidR="00765EBF" w:rsidRPr="00037926" w:rsidRDefault="00A90010" w:rsidP="00037926">
      <w:pPr>
        <w:ind w:left="284"/>
        <w:jc w:val="both"/>
        <w:outlineLvl w:val="4"/>
        <w:rPr>
          <w:rFonts w:asciiTheme="minorHAnsi" w:eastAsia="Times New Roman" w:hAnsiTheme="minorHAnsi" w:cstheme="minorHAnsi"/>
          <w:bCs/>
          <w:kern w:val="36"/>
          <w:sz w:val="20"/>
          <w:szCs w:val="20"/>
          <w:lang w:eastAsia="hu-HU"/>
        </w:rPr>
      </w:pPr>
      <w:hyperlink r:id="rId23" w:history="1">
        <w:r w:rsidR="00037926" w:rsidRPr="00037926">
          <w:rPr>
            <w:rStyle w:val="Hiperhivatkozs"/>
            <w:rFonts w:asciiTheme="minorHAnsi" w:hAnsiTheme="minorHAnsi" w:cstheme="minorHAnsi"/>
            <w:color w:val="auto"/>
            <w:sz w:val="20"/>
            <w:szCs w:val="20"/>
            <w:u w:val="none"/>
            <w:lang w:val="en-US"/>
          </w:rPr>
          <w:t>https://www.latimes.com/opinion/op-ed/la-oe-bridy-perzanowski-google-tp-20170721-stg.html</w:t>
        </w:r>
      </w:hyperlink>
      <w:r w:rsidR="00037926" w:rsidRPr="00037926">
        <w:rPr>
          <w:rFonts w:asciiTheme="minorHAnsi" w:hAnsiTheme="minorHAnsi" w:cstheme="minorHAnsi"/>
          <w:sz w:val="20"/>
          <w:szCs w:val="20"/>
          <w:lang w:val="en-US"/>
        </w:rPr>
        <w:t xml:space="preserve">.    </w:t>
      </w:r>
    </w:p>
    <w:p w14:paraId="20AFFA06" w14:textId="3A130393" w:rsidR="00E20668" w:rsidRDefault="00296E3B" w:rsidP="00037926">
      <w:pPr>
        <w:pStyle w:val="Cmsor1"/>
        <w:spacing w:before="0"/>
        <w:ind w:left="284"/>
        <w:jc w:val="both"/>
        <w:rPr>
          <w:rFonts w:asciiTheme="minorHAnsi" w:hAnsiTheme="minorHAnsi" w:cstheme="minorHAnsi"/>
          <w:sz w:val="20"/>
          <w:szCs w:val="20"/>
        </w:rPr>
      </w:pPr>
      <w:r>
        <w:rPr>
          <w:rFonts w:asciiTheme="minorHAnsi" w:hAnsiTheme="minorHAnsi" w:cstheme="minorHAnsi"/>
          <w:sz w:val="20"/>
          <w:szCs w:val="20"/>
        </w:rPr>
        <w:t xml:space="preserve">   </w:t>
      </w:r>
      <w:r w:rsidR="0042459A" w:rsidRPr="00765EBF">
        <w:rPr>
          <w:rFonts w:asciiTheme="minorHAnsi" w:hAnsiTheme="minorHAnsi" w:cstheme="minorHAnsi"/>
          <w:sz w:val="20"/>
          <w:szCs w:val="20"/>
        </w:rPr>
        <w:t>(</w:t>
      </w:r>
      <w:r w:rsidR="00037926">
        <w:rPr>
          <w:rFonts w:asciiTheme="minorHAnsi" w:hAnsiTheme="minorHAnsi" w:cstheme="minorHAnsi"/>
          <w:sz w:val="20"/>
          <w:szCs w:val="20"/>
        </w:rPr>
        <w:t>i</w:t>
      </w:r>
      <w:r w:rsidR="0042459A" w:rsidRPr="00765EBF">
        <w:rPr>
          <w:rFonts w:asciiTheme="minorHAnsi" w:hAnsiTheme="minorHAnsi" w:cstheme="minorHAnsi"/>
          <w:sz w:val="20"/>
          <w:szCs w:val="20"/>
        </w:rPr>
        <w:t>i</w:t>
      </w:r>
      <w:r w:rsidR="00037926">
        <w:rPr>
          <w:rFonts w:asciiTheme="minorHAnsi" w:hAnsiTheme="minorHAnsi" w:cstheme="minorHAnsi"/>
          <w:sz w:val="20"/>
          <w:szCs w:val="20"/>
        </w:rPr>
        <w:t>i</w:t>
      </w:r>
      <w:r w:rsidR="0042459A" w:rsidRPr="00765EBF">
        <w:rPr>
          <w:rFonts w:asciiTheme="minorHAnsi" w:hAnsiTheme="minorHAnsi" w:cstheme="minorHAnsi"/>
          <w:sz w:val="20"/>
          <w:szCs w:val="20"/>
        </w:rPr>
        <w:t xml:space="preserve">) </w:t>
      </w:r>
      <w:r w:rsidR="00037926" w:rsidRPr="00296E3B">
        <w:rPr>
          <w:rFonts w:asciiTheme="minorHAnsi" w:hAnsiTheme="minorHAnsi" w:cstheme="minorHAnsi"/>
          <w:i/>
          <w:sz w:val="20"/>
          <w:szCs w:val="20"/>
        </w:rPr>
        <w:t xml:space="preserve">in </w:t>
      </w:r>
      <w:r w:rsidR="0042459A" w:rsidRPr="00296E3B">
        <w:rPr>
          <w:rFonts w:asciiTheme="minorHAnsi" w:hAnsiTheme="minorHAnsi" w:cstheme="minorHAnsi"/>
          <w:i/>
          <w:sz w:val="20"/>
          <w:szCs w:val="20"/>
        </w:rPr>
        <w:t>The Times</w:t>
      </w:r>
      <w:r w:rsidR="0042459A" w:rsidRPr="00765EBF">
        <w:rPr>
          <w:rFonts w:asciiTheme="minorHAnsi" w:hAnsiTheme="minorHAnsi" w:cstheme="minorHAnsi"/>
          <w:sz w:val="20"/>
          <w:szCs w:val="20"/>
        </w:rPr>
        <w:t>:</w:t>
      </w:r>
      <w:r w:rsidR="003D0E09" w:rsidRPr="00765EBF">
        <w:rPr>
          <w:rFonts w:asciiTheme="minorHAnsi" w:hAnsiTheme="minorHAnsi" w:cstheme="minorHAnsi"/>
          <w:sz w:val="20"/>
          <w:szCs w:val="20"/>
        </w:rPr>
        <w:t xml:space="preserve"> “</w:t>
      </w:r>
      <w:r w:rsidR="003D0E09" w:rsidRPr="004559CC">
        <w:rPr>
          <w:rFonts w:asciiTheme="minorHAnsi" w:hAnsiTheme="minorHAnsi" w:cstheme="minorHAnsi"/>
          <w:bCs/>
          <w:i/>
          <w:kern w:val="36"/>
          <w:sz w:val="20"/>
          <w:szCs w:val="20"/>
          <w:lang w:val="hu-HU" w:eastAsia="hu-HU"/>
        </w:rPr>
        <w:t xml:space="preserve">Google pays academics millions for key support. </w:t>
      </w:r>
      <w:r w:rsidR="003D0E09" w:rsidRPr="004559CC">
        <w:rPr>
          <w:rFonts w:asciiTheme="minorHAnsi" w:hAnsiTheme="minorHAnsi" w:cstheme="minorHAnsi"/>
          <w:bCs/>
          <w:i/>
          <w:sz w:val="20"/>
          <w:szCs w:val="20"/>
          <w:lang w:eastAsia="hu-HU"/>
        </w:rPr>
        <w:t>British and American researchers get secret funds</w:t>
      </w:r>
      <w:r w:rsidR="003D0E09" w:rsidRPr="00765EBF">
        <w:rPr>
          <w:rFonts w:asciiTheme="minorHAnsi" w:hAnsiTheme="minorHAnsi" w:cstheme="minorHAnsi"/>
          <w:bCs/>
          <w:sz w:val="20"/>
          <w:szCs w:val="20"/>
          <w:lang w:eastAsia="hu-HU"/>
        </w:rPr>
        <w:t xml:space="preserve">” at </w:t>
      </w:r>
      <w:hyperlink r:id="rId24" w:history="1">
        <w:r w:rsidR="003D0E09" w:rsidRPr="00765EBF">
          <w:rPr>
            <w:rStyle w:val="Hiperhivatkozs"/>
            <w:rFonts w:asciiTheme="minorHAnsi" w:hAnsiTheme="minorHAnsi" w:cstheme="minorHAnsi"/>
            <w:bCs/>
            <w:color w:val="auto"/>
            <w:sz w:val="20"/>
            <w:szCs w:val="20"/>
            <w:u w:val="none"/>
            <w:lang w:eastAsia="hu-HU"/>
          </w:rPr>
          <w:t>https://www.thetimes.co.uk/article/google-pays-academics-millions-for-key-support-tnb3zgpxp</w:t>
        </w:r>
      </w:hyperlink>
      <w:r w:rsidR="003D0E09" w:rsidRPr="00765EBF">
        <w:rPr>
          <w:rFonts w:asciiTheme="minorHAnsi" w:hAnsiTheme="minorHAnsi" w:cstheme="minorHAnsi"/>
          <w:bCs/>
          <w:sz w:val="20"/>
          <w:szCs w:val="20"/>
          <w:lang w:eastAsia="hu-HU"/>
        </w:rPr>
        <w:t>.</w:t>
      </w:r>
      <w:r w:rsidR="00E20668" w:rsidRPr="00765EBF">
        <w:rPr>
          <w:rFonts w:asciiTheme="minorHAnsi" w:hAnsiTheme="minorHAnsi" w:cstheme="minorHAnsi"/>
          <w:bCs/>
          <w:sz w:val="20"/>
          <w:szCs w:val="20"/>
          <w:lang w:eastAsia="hu-HU"/>
        </w:rPr>
        <w:t xml:space="preserve"> According to the newspaper: “</w:t>
      </w:r>
      <w:r w:rsidR="00E20668" w:rsidRPr="00765EBF">
        <w:rPr>
          <w:rFonts w:asciiTheme="minorHAnsi" w:hAnsiTheme="minorHAnsi" w:cstheme="minorHAnsi"/>
          <w:sz w:val="20"/>
          <w:szCs w:val="20"/>
        </w:rPr>
        <w:t>The authors, who received payments of between $5,000 and $400,000, did not disclose Google’s funding in two thirds of cases. Emails suggest that some researchers shared papers with Google before publication, seeking suggestions for changes.”</w:t>
      </w:r>
    </w:p>
    <w:p w14:paraId="12BFF0E9" w14:textId="61EB6C72" w:rsidR="00A45204" w:rsidRDefault="00296E3B" w:rsidP="00037926">
      <w:pPr>
        <w:pStyle w:val="Cmsor1"/>
        <w:spacing w:before="0"/>
        <w:ind w:left="284"/>
        <w:jc w:val="both"/>
        <w:rPr>
          <w:rFonts w:asciiTheme="minorHAnsi" w:hAnsiTheme="minorHAnsi" w:cstheme="minorHAnsi"/>
          <w:sz w:val="20"/>
          <w:szCs w:val="20"/>
        </w:rPr>
      </w:pPr>
      <w:r>
        <w:rPr>
          <w:rFonts w:asciiTheme="minorHAnsi" w:hAnsiTheme="minorHAnsi" w:cstheme="minorHAnsi"/>
          <w:sz w:val="20"/>
          <w:szCs w:val="20"/>
        </w:rPr>
        <w:t xml:space="preserve">   </w:t>
      </w:r>
      <w:r w:rsidR="00037926">
        <w:rPr>
          <w:rFonts w:asciiTheme="minorHAnsi" w:hAnsiTheme="minorHAnsi" w:cstheme="minorHAnsi"/>
          <w:sz w:val="20"/>
          <w:szCs w:val="20"/>
        </w:rPr>
        <w:t xml:space="preserve">(iv) </w:t>
      </w:r>
      <w:r w:rsidR="001D606B">
        <w:rPr>
          <w:rFonts w:asciiTheme="minorHAnsi" w:hAnsiTheme="minorHAnsi" w:cstheme="minorHAnsi"/>
          <w:sz w:val="20"/>
          <w:szCs w:val="20"/>
        </w:rPr>
        <w:t>by</w:t>
      </w:r>
      <w:r w:rsidR="00037926">
        <w:rPr>
          <w:rFonts w:asciiTheme="minorHAnsi" w:hAnsiTheme="minorHAnsi" w:cstheme="minorHAnsi"/>
          <w:sz w:val="20"/>
          <w:szCs w:val="20"/>
        </w:rPr>
        <w:t xml:space="preserve"> </w:t>
      </w:r>
      <w:r w:rsidR="00037926" w:rsidRPr="00296E3B">
        <w:rPr>
          <w:rFonts w:asciiTheme="minorHAnsi" w:hAnsiTheme="minorHAnsi" w:cstheme="minorHAnsi"/>
          <w:i/>
          <w:sz w:val="20"/>
          <w:szCs w:val="20"/>
        </w:rPr>
        <w:t>Politico</w:t>
      </w:r>
      <w:r>
        <w:rPr>
          <w:rFonts w:asciiTheme="minorHAnsi" w:hAnsiTheme="minorHAnsi" w:cstheme="minorHAnsi"/>
          <w:sz w:val="20"/>
          <w:szCs w:val="20"/>
        </w:rPr>
        <w:t xml:space="preserve">: </w:t>
      </w:r>
      <w:r w:rsidR="00601E7C">
        <w:rPr>
          <w:rFonts w:asciiTheme="minorHAnsi" w:hAnsiTheme="minorHAnsi" w:cstheme="minorHAnsi"/>
          <w:sz w:val="20"/>
          <w:szCs w:val="20"/>
        </w:rPr>
        <w:t>“</w:t>
      </w:r>
      <w:r w:rsidR="00601E7C" w:rsidRPr="004559CC">
        <w:rPr>
          <w:rFonts w:asciiTheme="minorHAnsi" w:hAnsiTheme="minorHAnsi" w:cstheme="minorHAnsi"/>
          <w:i/>
          <w:sz w:val="20"/>
          <w:szCs w:val="20"/>
        </w:rPr>
        <w:t>Google’s academic links under scrutin</w:t>
      </w:r>
      <w:r w:rsidR="00601E7C" w:rsidRPr="00601E7C">
        <w:rPr>
          <w:rFonts w:asciiTheme="minorHAnsi" w:hAnsiTheme="minorHAnsi" w:cstheme="minorHAnsi"/>
          <w:sz w:val="20"/>
          <w:szCs w:val="20"/>
        </w:rPr>
        <w:t>y</w:t>
      </w:r>
      <w:r w:rsidR="00601E7C">
        <w:rPr>
          <w:rFonts w:asciiTheme="minorHAnsi" w:hAnsiTheme="minorHAnsi" w:cstheme="minorHAnsi"/>
          <w:sz w:val="20"/>
          <w:szCs w:val="20"/>
        </w:rPr>
        <w:t xml:space="preserve">.” at </w:t>
      </w:r>
      <w:hyperlink r:id="rId25" w:history="1">
        <w:r w:rsidR="00601E7C" w:rsidRPr="00383012">
          <w:rPr>
            <w:rStyle w:val="Hiperhivatkozs"/>
            <w:rFonts w:asciiTheme="minorHAnsi" w:hAnsiTheme="minorHAnsi" w:cstheme="minorHAnsi"/>
            <w:color w:val="auto"/>
            <w:sz w:val="20"/>
            <w:szCs w:val="20"/>
            <w:u w:val="none"/>
          </w:rPr>
          <w:t>https://www.politico.eu/articles/google-campaign-for-accontability-lobbying-humb</w:t>
        </w:r>
      </w:hyperlink>
      <w:r w:rsidR="00601E7C" w:rsidRPr="00383012">
        <w:rPr>
          <w:rFonts w:asciiTheme="minorHAnsi" w:hAnsiTheme="minorHAnsi" w:cstheme="minorHAnsi"/>
          <w:sz w:val="20"/>
          <w:szCs w:val="20"/>
        </w:rPr>
        <w:t>olts-ceps-astroturf</w:t>
      </w:r>
      <w:r w:rsidR="004217A8" w:rsidRPr="00383012">
        <w:rPr>
          <w:rFonts w:asciiTheme="minorHAnsi" w:hAnsiTheme="minorHAnsi" w:cstheme="minorHAnsi"/>
          <w:sz w:val="20"/>
          <w:szCs w:val="20"/>
        </w:rPr>
        <w:t>ing</w:t>
      </w:r>
      <w:r w:rsidR="00383012" w:rsidRPr="00383012">
        <w:rPr>
          <w:rFonts w:asciiTheme="minorHAnsi" w:hAnsiTheme="minorHAnsi" w:cstheme="minorHAnsi"/>
          <w:sz w:val="20"/>
          <w:szCs w:val="20"/>
        </w:rPr>
        <w:t>.</w:t>
      </w:r>
      <w:r w:rsidR="00601E7C" w:rsidRPr="00383012">
        <w:rPr>
          <w:rFonts w:asciiTheme="minorHAnsi" w:hAnsiTheme="minorHAnsi" w:cstheme="minorHAnsi"/>
          <w:sz w:val="20"/>
          <w:szCs w:val="20"/>
        </w:rPr>
        <w:t xml:space="preserve">   </w:t>
      </w:r>
      <w:r w:rsidR="00383012">
        <w:rPr>
          <w:rFonts w:asciiTheme="minorHAnsi" w:hAnsiTheme="minorHAnsi" w:cstheme="minorHAnsi"/>
          <w:sz w:val="20"/>
          <w:szCs w:val="20"/>
        </w:rPr>
        <w:t>The article refers to research reports when it states that “</w:t>
      </w:r>
      <w:r w:rsidR="00383012" w:rsidRPr="00383012">
        <w:rPr>
          <w:rFonts w:asciiTheme="minorHAnsi" w:hAnsiTheme="minorHAnsi" w:cstheme="minorHAnsi"/>
          <w:sz w:val="20"/>
          <w:szCs w:val="20"/>
        </w:rPr>
        <w:t>as part of a decade-long lobbying campaign, the American tech company earmarked millions of euros to support think tanks in Germany, the United Kingdom and Brussels that focused on hot-button topics like competition and copyright reform central to Google’s core advertising busines</w:t>
      </w:r>
      <w:r w:rsidR="00383012">
        <w:rPr>
          <w:rFonts w:asciiTheme="minorHAnsi" w:hAnsiTheme="minorHAnsi" w:cstheme="minorHAnsi"/>
          <w:sz w:val="20"/>
          <w:szCs w:val="20"/>
        </w:rPr>
        <w:t xml:space="preserve">s” and it quotes </w:t>
      </w:r>
      <w:r w:rsidR="00A45204">
        <w:rPr>
          <w:rFonts w:asciiTheme="minorHAnsi" w:hAnsiTheme="minorHAnsi" w:cstheme="minorHAnsi"/>
          <w:sz w:val="20"/>
          <w:szCs w:val="20"/>
        </w:rPr>
        <w:t xml:space="preserve">one of the researchers as saying: </w:t>
      </w:r>
      <w:r w:rsidR="00A45204" w:rsidRPr="00A45204">
        <w:rPr>
          <w:rFonts w:asciiTheme="minorHAnsi" w:hAnsiTheme="minorHAnsi" w:cstheme="minorHAnsi"/>
          <w:sz w:val="20"/>
          <w:szCs w:val="20"/>
        </w:rPr>
        <w:t>"Google's strategy is to put money into a few institutions</w:t>
      </w:r>
      <w:r w:rsidR="00A45204">
        <w:rPr>
          <w:rFonts w:asciiTheme="minorHAnsi" w:hAnsiTheme="minorHAnsi" w:cstheme="minorHAnsi"/>
          <w:sz w:val="20"/>
          <w:szCs w:val="20"/>
        </w:rPr>
        <w:t>. If</w:t>
      </w:r>
      <w:r w:rsidR="00A45204" w:rsidRPr="00A45204">
        <w:rPr>
          <w:rFonts w:asciiTheme="minorHAnsi" w:hAnsiTheme="minorHAnsi" w:cstheme="minorHAnsi"/>
          <w:sz w:val="20"/>
          <w:szCs w:val="20"/>
        </w:rPr>
        <w:t xml:space="preserve"> they can muddy the waters by pointing to academic papers, it helps their cause."</w:t>
      </w:r>
    </w:p>
    <w:p w14:paraId="3A8AADEB" w14:textId="690864B9" w:rsidR="00066F5D" w:rsidRDefault="00A45204" w:rsidP="00066F5D">
      <w:pPr>
        <w:pStyle w:val="Cmsor1"/>
        <w:spacing w:before="0"/>
        <w:ind w:left="284"/>
        <w:jc w:val="both"/>
        <w:rPr>
          <w:rFonts w:asciiTheme="minorHAnsi" w:hAnsiTheme="minorHAnsi" w:cstheme="minorHAnsi"/>
          <w:sz w:val="20"/>
          <w:szCs w:val="20"/>
        </w:rPr>
      </w:pPr>
      <w:r>
        <w:rPr>
          <w:rFonts w:asciiTheme="minorHAnsi" w:hAnsiTheme="minorHAnsi" w:cstheme="minorHAnsi"/>
          <w:sz w:val="20"/>
          <w:szCs w:val="20"/>
        </w:rPr>
        <w:t xml:space="preserve">    (v) </w:t>
      </w:r>
      <w:r w:rsidR="001D606B">
        <w:rPr>
          <w:rFonts w:asciiTheme="minorHAnsi" w:hAnsiTheme="minorHAnsi" w:cstheme="minorHAnsi"/>
          <w:sz w:val="20"/>
          <w:szCs w:val="20"/>
        </w:rPr>
        <w:t xml:space="preserve">on the website of </w:t>
      </w:r>
      <w:r w:rsidR="001D606B" w:rsidRPr="001D606B">
        <w:rPr>
          <w:rFonts w:asciiTheme="minorHAnsi" w:hAnsiTheme="minorHAnsi" w:cstheme="minorHAnsi"/>
          <w:i/>
          <w:sz w:val="20"/>
          <w:szCs w:val="20"/>
        </w:rPr>
        <w:t>Campaign for Acco</w:t>
      </w:r>
      <w:r w:rsidR="004559CC">
        <w:rPr>
          <w:rFonts w:asciiTheme="minorHAnsi" w:hAnsiTheme="minorHAnsi" w:cstheme="minorHAnsi"/>
          <w:i/>
          <w:sz w:val="20"/>
          <w:szCs w:val="20"/>
        </w:rPr>
        <w:t>u</w:t>
      </w:r>
      <w:r w:rsidR="001D606B" w:rsidRPr="001D606B">
        <w:rPr>
          <w:rFonts w:asciiTheme="minorHAnsi" w:hAnsiTheme="minorHAnsi" w:cstheme="minorHAnsi"/>
          <w:i/>
          <w:sz w:val="20"/>
          <w:szCs w:val="20"/>
        </w:rPr>
        <w:t>ntability</w:t>
      </w:r>
      <w:r w:rsidR="001D606B">
        <w:rPr>
          <w:rFonts w:asciiTheme="minorHAnsi" w:hAnsiTheme="minorHAnsi" w:cstheme="minorHAnsi"/>
          <w:sz w:val="20"/>
          <w:szCs w:val="20"/>
        </w:rPr>
        <w:t xml:space="preserve">: </w:t>
      </w:r>
      <w:r w:rsidR="00CC5425" w:rsidRPr="00CC5425">
        <w:rPr>
          <w:rFonts w:asciiTheme="minorHAnsi" w:hAnsiTheme="minorHAnsi" w:cstheme="minorHAnsi"/>
          <w:sz w:val="20"/>
          <w:szCs w:val="20"/>
        </w:rPr>
        <w:t>“</w:t>
      </w:r>
      <w:r w:rsidR="00CC5425" w:rsidRPr="00A0454F">
        <w:rPr>
          <w:rFonts w:asciiTheme="minorHAnsi" w:hAnsiTheme="minorHAnsi" w:cstheme="minorHAnsi"/>
          <w:i/>
          <w:sz w:val="20"/>
          <w:szCs w:val="20"/>
        </w:rPr>
        <w:t>Google’s Academic Influence in Europe</w:t>
      </w:r>
      <w:r w:rsidR="00CC5425" w:rsidRPr="00CC5425">
        <w:rPr>
          <w:rFonts w:asciiTheme="minorHAnsi" w:hAnsiTheme="minorHAnsi" w:cstheme="minorHAnsi"/>
          <w:sz w:val="20"/>
          <w:szCs w:val="20"/>
        </w:rPr>
        <w:t>”</w:t>
      </w:r>
      <w:r w:rsidR="00A0454F">
        <w:rPr>
          <w:rFonts w:asciiTheme="minorHAnsi" w:hAnsiTheme="minorHAnsi" w:cstheme="minorHAnsi"/>
          <w:sz w:val="20"/>
          <w:szCs w:val="20"/>
        </w:rPr>
        <w:t xml:space="preserve"> at https:// campaignforaccountability</w:t>
      </w:r>
      <w:r w:rsidR="00CC5425" w:rsidRPr="00CC5425">
        <w:rPr>
          <w:rFonts w:asciiTheme="minorHAnsi" w:hAnsiTheme="minorHAnsi" w:cstheme="minorHAnsi"/>
          <w:sz w:val="20"/>
          <w:szCs w:val="20"/>
        </w:rPr>
        <w:t>.</w:t>
      </w:r>
      <w:r w:rsidR="00A0454F">
        <w:rPr>
          <w:rFonts w:asciiTheme="minorHAnsi" w:hAnsiTheme="minorHAnsi" w:cstheme="minorHAnsi"/>
          <w:sz w:val="20"/>
          <w:szCs w:val="20"/>
        </w:rPr>
        <w:t>org/work/googles-academic-influence-in-europe. The thoroughly researched paper</w:t>
      </w:r>
      <w:r w:rsidR="00066F5D">
        <w:rPr>
          <w:rFonts w:asciiTheme="minorHAnsi" w:hAnsiTheme="minorHAnsi" w:cstheme="minorHAnsi"/>
          <w:sz w:val="20"/>
          <w:szCs w:val="20"/>
        </w:rPr>
        <w:t xml:space="preserve"> published in March 2018</w:t>
      </w:r>
      <w:r w:rsidR="00A0454F">
        <w:rPr>
          <w:rFonts w:asciiTheme="minorHAnsi" w:hAnsiTheme="minorHAnsi" w:cstheme="minorHAnsi"/>
          <w:sz w:val="20"/>
          <w:szCs w:val="20"/>
        </w:rPr>
        <w:t xml:space="preserve">, to which reference made also in the above-mentioned Politico article, states inter alia, this: </w:t>
      </w:r>
      <w:r w:rsidR="00066F5D">
        <w:rPr>
          <w:rFonts w:asciiTheme="minorHAnsi" w:hAnsiTheme="minorHAnsi" w:cstheme="minorHAnsi"/>
          <w:sz w:val="20"/>
          <w:szCs w:val="20"/>
        </w:rPr>
        <w:t xml:space="preserve">“Over the past decade, Google has invested heavily in European academic institutions to develop an influential network of friendly academics, paying tens of millions of euros to think tanks, universities and professors that write research papers supporting its business interests. Those academics and institutions span the length and breadth of Europe, from countries with major influence in European Union policymaking, such as Germany and France, to Eastern European nations like Poland… For example, Google has paid at least </w:t>
      </w:r>
      <w:r w:rsidR="00066F5D">
        <w:rPr>
          <w:rFonts w:asciiTheme="minorHAnsi" w:hAnsiTheme="minorHAnsi" w:cstheme="minorHAnsi"/>
          <w:color w:val="222222"/>
          <w:sz w:val="20"/>
          <w:szCs w:val="20"/>
        </w:rPr>
        <w:t>€9 million to help set up the Alexander von Humboldt Institute for Internet and Society (HIIG) at Berlin’s Humboldt University… The Institute has so far (until March 2018) published more than 240 scholarly papers and reports on internet policy issues, many on issues of central importance to Google’s bottom line.</w:t>
      </w:r>
      <w:r w:rsidR="00066F5D">
        <w:rPr>
          <w:rFonts w:asciiTheme="minorHAnsi" w:hAnsiTheme="minorHAnsi" w:cstheme="minorHAnsi"/>
          <w:sz w:val="20"/>
          <w:szCs w:val="20"/>
        </w:rPr>
        <w:t xml:space="preserve"> HIIG also runs a Google-funded journal, with which several Google-funded scholars are affiliated, to publish such research… In Poland, Google has funded the Digital Economy Lab (DELab) at the University of Warsaw [and also] started funding one of Brussels’ most influential think-tanks, the Centre for European Policy Studies (CEPS) in 2014.”</w:t>
      </w:r>
    </w:p>
    <w:p w14:paraId="6889D529" w14:textId="1DE64B89" w:rsidR="00A45204" w:rsidRDefault="00066F5D" w:rsidP="00066F5D">
      <w:pPr>
        <w:pStyle w:val="Cmsor1"/>
        <w:spacing w:before="0"/>
        <w:ind w:left="0"/>
        <w:jc w:val="both"/>
        <w:rPr>
          <w:rFonts w:asciiTheme="minorHAnsi" w:hAnsiTheme="minorHAnsi" w:cstheme="minorHAnsi"/>
          <w:sz w:val="20"/>
          <w:szCs w:val="20"/>
        </w:rPr>
      </w:pPr>
      <w:r>
        <w:rPr>
          <w:rFonts w:asciiTheme="minorHAnsi" w:hAnsiTheme="minorHAnsi" w:cstheme="minorHAnsi"/>
          <w:sz w:val="20"/>
          <w:szCs w:val="20"/>
        </w:rPr>
        <w:t>It would not be appropriate to apply the saying “</w:t>
      </w:r>
      <w:hyperlink r:id="rId26" w:history="1">
        <w:r w:rsidR="00A0454F" w:rsidRPr="00066F5D">
          <w:rPr>
            <w:rStyle w:val="Hiperhivatkozs"/>
            <w:rFonts w:asciiTheme="minorHAnsi" w:hAnsiTheme="minorHAnsi" w:cstheme="minorHAnsi"/>
            <w:color w:val="auto"/>
            <w:sz w:val="20"/>
            <w:szCs w:val="20"/>
            <w:u w:val="none"/>
          </w:rPr>
          <w:t>Wer zahlt, bestimmt die Musik</w:t>
        </w:r>
      </w:hyperlink>
      <w:r>
        <w:rPr>
          <w:rStyle w:val="Hiperhivatkozs"/>
          <w:rFonts w:asciiTheme="minorHAnsi" w:hAnsiTheme="minorHAnsi" w:cstheme="minorHAnsi"/>
          <w:color w:val="auto"/>
          <w:sz w:val="20"/>
          <w:szCs w:val="20"/>
          <w:u w:val="none"/>
        </w:rPr>
        <w:t>” to the academic wor</w:t>
      </w:r>
      <w:r w:rsidR="00D47C68">
        <w:rPr>
          <w:rStyle w:val="Hiperhivatkozs"/>
          <w:rFonts w:asciiTheme="minorHAnsi" w:hAnsiTheme="minorHAnsi" w:cstheme="minorHAnsi"/>
          <w:color w:val="auto"/>
          <w:sz w:val="20"/>
          <w:szCs w:val="20"/>
          <w:u w:val="none"/>
        </w:rPr>
        <w:t>ld</w:t>
      </w:r>
      <w:r>
        <w:rPr>
          <w:rStyle w:val="Hiperhivatkozs"/>
          <w:rFonts w:asciiTheme="minorHAnsi" w:hAnsiTheme="minorHAnsi" w:cstheme="minorHAnsi"/>
          <w:color w:val="auto"/>
          <w:sz w:val="20"/>
          <w:szCs w:val="20"/>
          <w:u w:val="none"/>
        </w:rPr>
        <w:t xml:space="preserve">. It </w:t>
      </w:r>
      <w:r w:rsidR="00D47C68">
        <w:rPr>
          <w:rStyle w:val="Hiperhivatkozs"/>
          <w:rFonts w:asciiTheme="minorHAnsi" w:hAnsiTheme="minorHAnsi" w:cstheme="minorHAnsi"/>
          <w:color w:val="auto"/>
          <w:sz w:val="20"/>
          <w:szCs w:val="20"/>
          <w:u w:val="none"/>
        </w:rPr>
        <w:t>is sure</w:t>
      </w:r>
      <w:r w:rsidR="00C70436">
        <w:rPr>
          <w:rStyle w:val="Hiperhivatkozs"/>
          <w:rFonts w:asciiTheme="minorHAnsi" w:hAnsiTheme="minorHAnsi" w:cstheme="minorHAnsi"/>
          <w:color w:val="auto"/>
          <w:sz w:val="20"/>
          <w:szCs w:val="20"/>
          <w:u w:val="none"/>
        </w:rPr>
        <w:t xml:space="preserve"> that</w:t>
      </w:r>
      <w:r w:rsidR="00D47C68">
        <w:rPr>
          <w:rStyle w:val="Hiperhivatkozs"/>
          <w:rFonts w:asciiTheme="minorHAnsi" w:hAnsiTheme="minorHAnsi" w:cstheme="minorHAnsi"/>
          <w:color w:val="auto"/>
          <w:sz w:val="20"/>
          <w:szCs w:val="20"/>
          <w:u w:val="none"/>
        </w:rPr>
        <w:t xml:space="preserve"> </w:t>
      </w:r>
      <w:r>
        <w:rPr>
          <w:rStyle w:val="Hiperhivatkozs"/>
          <w:rFonts w:asciiTheme="minorHAnsi" w:hAnsiTheme="minorHAnsi" w:cstheme="minorHAnsi"/>
          <w:color w:val="auto"/>
          <w:sz w:val="20"/>
          <w:szCs w:val="20"/>
          <w:u w:val="none"/>
        </w:rPr>
        <w:t>th</w:t>
      </w:r>
      <w:r w:rsidR="00D47C68">
        <w:rPr>
          <w:rStyle w:val="Hiperhivatkozs"/>
          <w:rFonts w:asciiTheme="minorHAnsi" w:hAnsiTheme="minorHAnsi" w:cstheme="minorHAnsi"/>
          <w:color w:val="auto"/>
          <w:sz w:val="20"/>
          <w:szCs w:val="20"/>
          <w:u w:val="none"/>
        </w:rPr>
        <w:t xml:space="preserve">e </w:t>
      </w:r>
      <w:r>
        <w:rPr>
          <w:rStyle w:val="Hiperhivatkozs"/>
          <w:rFonts w:asciiTheme="minorHAnsi" w:hAnsiTheme="minorHAnsi" w:cstheme="minorHAnsi"/>
          <w:color w:val="auto"/>
          <w:sz w:val="20"/>
          <w:szCs w:val="20"/>
          <w:u w:val="none"/>
        </w:rPr>
        <w:t>academics whose research is financed by Google</w:t>
      </w:r>
      <w:r w:rsidR="00C70436">
        <w:rPr>
          <w:rStyle w:val="Hiperhivatkozs"/>
          <w:rFonts w:asciiTheme="minorHAnsi" w:hAnsiTheme="minorHAnsi" w:cstheme="minorHAnsi"/>
          <w:color w:val="auto"/>
          <w:sz w:val="20"/>
          <w:szCs w:val="20"/>
          <w:u w:val="none"/>
        </w:rPr>
        <w:t>, in general,</w:t>
      </w:r>
      <w:r>
        <w:rPr>
          <w:rStyle w:val="Hiperhivatkozs"/>
          <w:rFonts w:asciiTheme="minorHAnsi" w:hAnsiTheme="minorHAnsi" w:cstheme="minorHAnsi"/>
          <w:color w:val="auto"/>
          <w:sz w:val="20"/>
          <w:szCs w:val="20"/>
          <w:u w:val="none"/>
        </w:rPr>
        <w:t xml:space="preserve"> try to remain objective </w:t>
      </w:r>
      <w:r w:rsidR="00C70436">
        <w:rPr>
          <w:rStyle w:val="Hiperhivatkozs"/>
          <w:rFonts w:asciiTheme="minorHAnsi" w:hAnsiTheme="minorHAnsi" w:cstheme="minorHAnsi"/>
          <w:color w:val="auto"/>
          <w:sz w:val="20"/>
          <w:szCs w:val="20"/>
          <w:u w:val="none"/>
        </w:rPr>
        <w:t xml:space="preserve">as much as possible </w:t>
      </w:r>
      <w:r>
        <w:rPr>
          <w:rStyle w:val="Hiperhivatkozs"/>
          <w:rFonts w:asciiTheme="minorHAnsi" w:hAnsiTheme="minorHAnsi" w:cstheme="minorHAnsi"/>
          <w:color w:val="auto"/>
          <w:sz w:val="20"/>
          <w:szCs w:val="20"/>
          <w:u w:val="none"/>
        </w:rPr>
        <w:t xml:space="preserve">when they deal with issues relevant for the interests of the huge company. </w:t>
      </w:r>
      <w:r w:rsidR="00C70436">
        <w:rPr>
          <w:rStyle w:val="Hiperhivatkozs"/>
          <w:rFonts w:asciiTheme="minorHAnsi" w:hAnsiTheme="minorHAnsi" w:cstheme="minorHAnsi"/>
          <w:color w:val="auto"/>
          <w:sz w:val="20"/>
          <w:szCs w:val="20"/>
          <w:u w:val="none"/>
        </w:rPr>
        <w:t>However</w:t>
      </w:r>
      <w:r w:rsidR="00D47C68">
        <w:rPr>
          <w:rStyle w:val="Hiperhivatkozs"/>
          <w:rFonts w:asciiTheme="minorHAnsi" w:hAnsiTheme="minorHAnsi" w:cstheme="minorHAnsi"/>
          <w:color w:val="auto"/>
          <w:sz w:val="20"/>
          <w:szCs w:val="20"/>
          <w:u w:val="none"/>
        </w:rPr>
        <w:t>, it is not sure</w:t>
      </w:r>
      <w:r>
        <w:rPr>
          <w:rStyle w:val="Hiperhivatkozs"/>
          <w:rFonts w:asciiTheme="minorHAnsi" w:hAnsiTheme="minorHAnsi" w:cstheme="minorHAnsi"/>
          <w:color w:val="auto"/>
          <w:sz w:val="20"/>
          <w:szCs w:val="20"/>
          <w:u w:val="none"/>
        </w:rPr>
        <w:t xml:space="preserve"> that they always succeed in this. </w:t>
      </w:r>
      <w:r w:rsidR="009C782C">
        <w:rPr>
          <w:rStyle w:val="Hiperhivatkozs"/>
          <w:rFonts w:asciiTheme="minorHAnsi" w:hAnsiTheme="minorHAnsi" w:cstheme="minorHAnsi"/>
          <w:color w:val="auto"/>
          <w:sz w:val="20"/>
          <w:szCs w:val="20"/>
          <w:u w:val="none"/>
        </w:rPr>
        <w:t xml:space="preserve">And </w:t>
      </w:r>
      <w:r>
        <w:rPr>
          <w:rStyle w:val="Hiperhivatkozs"/>
          <w:rFonts w:asciiTheme="minorHAnsi" w:hAnsiTheme="minorHAnsi" w:cstheme="minorHAnsi"/>
          <w:color w:val="auto"/>
          <w:sz w:val="20"/>
          <w:szCs w:val="20"/>
          <w:u w:val="none"/>
        </w:rPr>
        <w:t xml:space="preserve">it is </w:t>
      </w:r>
      <w:r w:rsidR="00D47C68">
        <w:rPr>
          <w:rStyle w:val="Hiperhivatkozs"/>
          <w:rFonts w:asciiTheme="minorHAnsi" w:hAnsiTheme="minorHAnsi" w:cstheme="minorHAnsi"/>
          <w:color w:val="auto"/>
          <w:sz w:val="20"/>
          <w:szCs w:val="20"/>
          <w:u w:val="none"/>
        </w:rPr>
        <w:t xml:space="preserve">even </w:t>
      </w:r>
      <w:r>
        <w:rPr>
          <w:rStyle w:val="Hiperhivatkozs"/>
          <w:rFonts w:asciiTheme="minorHAnsi" w:hAnsiTheme="minorHAnsi" w:cstheme="minorHAnsi"/>
          <w:color w:val="auto"/>
          <w:sz w:val="20"/>
          <w:szCs w:val="20"/>
          <w:u w:val="none"/>
        </w:rPr>
        <w:t xml:space="preserve">much more important what </w:t>
      </w:r>
      <w:r w:rsidR="00731C7A">
        <w:rPr>
          <w:rStyle w:val="Hiperhivatkozs"/>
          <w:rFonts w:asciiTheme="minorHAnsi" w:hAnsiTheme="minorHAnsi" w:cstheme="minorHAnsi"/>
          <w:color w:val="auto"/>
          <w:sz w:val="20"/>
          <w:szCs w:val="20"/>
          <w:u w:val="none"/>
        </w:rPr>
        <w:t>the above-mentioned Wall Street Journal quoted from Google’s statement about their academic financing project</w:t>
      </w:r>
      <w:r w:rsidR="009C782C">
        <w:rPr>
          <w:rStyle w:val="Hiperhivatkozs"/>
          <w:rFonts w:asciiTheme="minorHAnsi" w:hAnsiTheme="minorHAnsi" w:cstheme="minorHAnsi"/>
          <w:color w:val="auto"/>
          <w:sz w:val="20"/>
          <w:szCs w:val="20"/>
          <w:u w:val="none"/>
        </w:rPr>
        <w:t>s</w:t>
      </w:r>
      <w:r w:rsidR="00731C7A" w:rsidRPr="00B338FC">
        <w:rPr>
          <w:rStyle w:val="Hiperhivatkozs"/>
          <w:rFonts w:asciiTheme="minorHAnsi" w:hAnsiTheme="minorHAnsi" w:cstheme="minorHAnsi"/>
          <w:color w:val="auto"/>
          <w:sz w:val="20"/>
          <w:szCs w:val="20"/>
          <w:u w:val="none"/>
        </w:rPr>
        <w:t xml:space="preserve">: </w:t>
      </w:r>
      <w:r w:rsidR="00B338FC" w:rsidRPr="00B338FC">
        <w:rPr>
          <w:rFonts w:asciiTheme="minorHAnsi" w:hAnsiTheme="minorHAnsi" w:cstheme="minorHAnsi"/>
          <w:sz w:val="20"/>
          <w:szCs w:val="20"/>
          <w:lang w:eastAsia="hu-HU"/>
        </w:rPr>
        <w:t xml:space="preserve">“We’re happy to support academic researchers across computer science and policy topics, including copyright, free expression and surveillance, </w:t>
      </w:r>
      <w:r w:rsidR="00B338FC" w:rsidRPr="00B338FC">
        <w:rPr>
          <w:rFonts w:asciiTheme="minorHAnsi" w:hAnsiTheme="minorHAnsi" w:cstheme="minorHAnsi"/>
          <w:i/>
          <w:sz w:val="20"/>
          <w:szCs w:val="20"/>
          <w:lang w:eastAsia="hu-HU"/>
        </w:rPr>
        <w:t>and to help amplify voices</w:t>
      </w:r>
      <w:r w:rsidR="00B338FC" w:rsidRPr="00B338FC">
        <w:rPr>
          <w:rFonts w:asciiTheme="minorHAnsi" w:hAnsiTheme="minorHAnsi" w:cstheme="minorHAnsi"/>
          <w:sz w:val="20"/>
          <w:szCs w:val="20"/>
          <w:lang w:eastAsia="hu-HU"/>
        </w:rPr>
        <w:t xml:space="preserve"> that support the principles of an open internet</w:t>
      </w:r>
      <w:r w:rsidR="00C70436">
        <w:rPr>
          <w:rFonts w:asciiTheme="minorHAnsi" w:hAnsiTheme="minorHAnsi" w:cstheme="minorHAnsi"/>
          <w:sz w:val="20"/>
          <w:szCs w:val="20"/>
          <w:lang w:eastAsia="hu-HU"/>
        </w:rPr>
        <w:t xml:space="preserve"> [emphasis added]</w:t>
      </w:r>
      <w:r w:rsidR="00B338FC" w:rsidRPr="00B338FC">
        <w:rPr>
          <w:rFonts w:asciiTheme="minorHAnsi" w:hAnsiTheme="minorHAnsi" w:cstheme="minorHAnsi"/>
          <w:sz w:val="20"/>
          <w:szCs w:val="20"/>
          <w:lang w:eastAsia="hu-HU"/>
        </w:rPr>
        <w:t>”</w:t>
      </w:r>
      <w:r w:rsidR="00B338FC">
        <w:rPr>
          <w:rFonts w:cs="Times New Roman"/>
          <w:sz w:val="24"/>
          <w:szCs w:val="24"/>
          <w:lang w:eastAsia="hu-HU"/>
        </w:rPr>
        <w:t xml:space="preserve"> </w:t>
      </w:r>
      <w:r w:rsidR="00B338FC" w:rsidRPr="00B338FC">
        <w:rPr>
          <w:rFonts w:asciiTheme="minorHAnsi" w:hAnsiTheme="minorHAnsi" w:cstheme="minorHAnsi"/>
          <w:sz w:val="20"/>
          <w:szCs w:val="20"/>
          <w:lang w:eastAsia="hu-HU"/>
        </w:rPr>
        <w:t>Normal</w:t>
      </w:r>
      <w:r w:rsidR="00C70436">
        <w:rPr>
          <w:rFonts w:asciiTheme="minorHAnsi" w:hAnsiTheme="minorHAnsi" w:cstheme="minorHAnsi"/>
          <w:sz w:val="20"/>
          <w:szCs w:val="20"/>
          <w:lang w:eastAsia="hu-HU"/>
        </w:rPr>
        <w:t xml:space="preserve">; this is dictated by their </w:t>
      </w:r>
      <w:r w:rsidR="009C782C">
        <w:rPr>
          <w:rFonts w:asciiTheme="minorHAnsi" w:hAnsiTheme="minorHAnsi" w:cstheme="minorHAnsi"/>
          <w:sz w:val="20"/>
          <w:szCs w:val="20"/>
          <w:lang w:eastAsia="hu-HU"/>
        </w:rPr>
        <w:t xml:space="preserve">genuine </w:t>
      </w:r>
      <w:r w:rsidR="00C70436">
        <w:rPr>
          <w:rFonts w:asciiTheme="minorHAnsi" w:hAnsiTheme="minorHAnsi" w:cstheme="minorHAnsi"/>
          <w:sz w:val="20"/>
          <w:szCs w:val="20"/>
          <w:lang w:eastAsia="hu-HU"/>
        </w:rPr>
        <w:t>interest</w:t>
      </w:r>
      <w:r w:rsidR="00B338FC">
        <w:rPr>
          <w:rStyle w:val="Hiperhivatkozs"/>
          <w:rFonts w:asciiTheme="minorHAnsi" w:hAnsiTheme="minorHAnsi" w:cstheme="minorHAnsi"/>
          <w:color w:val="auto"/>
          <w:sz w:val="20"/>
          <w:szCs w:val="20"/>
          <w:u w:val="none"/>
        </w:rPr>
        <w:t>: the freer access</w:t>
      </w:r>
      <w:r w:rsidR="00C70436">
        <w:rPr>
          <w:rStyle w:val="Hiperhivatkozs"/>
          <w:rFonts w:asciiTheme="minorHAnsi" w:hAnsiTheme="minorHAnsi" w:cstheme="minorHAnsi"/>
          <w:color w:val="auto"/>
          <w:sz w:val="20"/>
          <w:szCs w:val="20"/>
          <w:u w:val="none"/>
        </w:rPr>
        <w:t xml:space="preserve"> is</w:t>
      </w:r>
      <w:r w:rsidR="00B338FC">
        <w:rPr>
          <w:rStyle w:val="Hiperhivatkozs"/>
          <w:rFonts w:asciiTheme="minorHAnsi" w:hAnsiTheme="minorHAnsi" w:cstheme="minorHAnsi"/>
          <w:color w:val="auto"/>
          <w:sz w:val="20"/>
          <w:szCs w:val="20"/>
          <w:u w:val="none"/>
        </w:rPr>
        <w:t xml:space="preserve">, the more clicks on their website, and thus the bigger advertising income. It is logical tactics </w:t>
      </w:r>
      <w:r w:rsidR="00C70436">
        <w:rPr>
          <w:rStyle w:val="Hiperhivatkozs"/>
          <w:rFonts w:asciiTheme="minorHAnsi" w:hAnsiTheme="minorHAnsi" w:cstheme="minorHAnsi"/>
          <w:color w:val="auto"/>
          <w:sz w:val="20"/>
          <w:szCs w:val="20"/>
          <w:u w:val="none"/>
        </w:rPr>
        <w:t xml:space="preserve">on their behalf </w:t>
      </w:r>
      <w:r w:rsidR="00B338FC">
        <w:rPr>
          <w:rStyle w:val="Hiperhivatkozs"/>
          <w:rFonts w:asciiTheme="minorHAnsi" w:hAnsiTheme="minorHAnsi" w:cstheme="minorHAnsi"/>
          <w:color w:val="auto"/>
          <w:sz w:val="20"/>
          <w:szCs w:val="20"/>
          <w:u w:val="none"/>
        </w:rPr>
        <w:t xml:space="preserve">to amplify such voices so loudly that </w:t>
      </w:r>
      <w:r w:rsidR="00C70436">
        <w:rPr>
          <w:rStyle w:val="Hiperhivatkozs"/>
          <w:rFonts w:asciiTheme="minorHAnsi" w:hAnsiTheme="minorHAnsi" w:cstheme="minorHAnsi"/>
          <w:color w:val="auto"/>
          <w:sz w:val="20"/>
          <w:szCs w:val="20"/>
          <w:u w:val="none"/>
        </w:rPr>
        <w:t xml:space="preserve">the contrary voices may be suppressed and as closely with their academic amplifier to the ears of government officials and legislators as possible. </w:t>
      </w:r>
      <w:r w:rsidR="009C782C">
        <w:rPr>
          <w:rStyle w:val="Hiperhivatkozs"/>
          <w:rFonts w:asciiTheme="minorHAnsi" w:hAnsiTheme="minorHAnsi" w:cstheme="minorHAnsi"/>
          <w:color w:val="auto"/>
          <w:sz w:val="20"/>
          <w:szCs w:val="20"/>
          <w:u w:val="none"/>
        </w:rPr>
        <w:t xml:space="preserve"> It would be pointless to blame them for doing so when they have a lot of money for this </w:t>
      </w:r>
      <w:r w:rsidR="001C31D5">
        <w:rPr>
          <w:rStyle w:val="Hiperhivatkozs"/>
          <w:rFonts w:asciiTheme="minorHAnsi" w:hAnsiTheme="minorHAnsi" w:cstheme="minorHAnsi"/>
          <w:color w:val="auto"/>
          <w:sz w:val="20"/>
          <w:szCs w:val="20"/>
          <w:u w:val="none"/>
        </w:rPr>
        <w:t xml:space="preserve">from </w:t>
      </w:r>
      <w:r w:rsidR="009C782C">
        <w:rPr>
          <w:rStyle w:val="Hiperhivatkozs"/>
          <w:rFonts w:asciiTheme="minorHAnsi" w:hAnsiTheme="minorHAnsi" w:cstheme="minorHAnsi"/>
          <w:color w:val="auto"/>
          <w:sz w:val="20"/>
          <w:szCs w:val="20"/>
          <w:u w:val="none"/>
        </w:rPr>
        <w:t xml:space="preserve">that advertising income. </w:t>
      </w:r>
      <w:r w:rsidR="00C70436">
        <w:rPr>
          <w:rStyle w:val="Hiperhivatkozs"/>
          <w:rFonts w:asciiTheme="minorHAnsi" w:hAnsiTheme="minorHAnsi" w:cstheme="minorHAnsi"/>
          <w:color w:val="auto"/>
          <w:sz w:val="20"/>
          <w:szCs w:val="20"/>
          <w:u w:val="none"/>
        </w:rPr>
        <w:t xml:space="preserve"> </w:t>
      </w:r>
      <w:r w:rsidR="009C782C">
        <w:rPr>
          <w:rStyle w:val="Hiperhivatkozs"/>
          <w:rFonts w:asciiTheme="minorHAnsi" w:hAnsiTheme="minorHAnsi" w:cstheme="minorHAnsi"/>
          <w:color w:val="auto"/>
          <w:sz w:val="20"/>
          <w:szCs w:val="20"/>
          <w:u w:val="none"/>
        </w:rPr>
        <w:t xml:space="preserve">Just, it is worthwhile taking </w:t>
      </w:r>
      <w:r w:rsidR="001C31D5">
        <w:rPr>
          <w:rStyle w:val="Hiperhivatkozs"/>
          <w:rFonts w:asciiTheme="minorHAnsi" w:hAnsiTheme="minorHAnsi" w:cstheme="minorHAnsi"/>
          <w:color w:val="auto"/>
          <w:sz w:val="20"/>
          <w:szCs w:val="20"/>
          <w:u w:val="none"/>
        </w:rPr>
        <w:t xml:space="preserve">it </w:t>
      </w:r>
      <w:r w:rsidR="009C782C">
        <w:rPr>
          <w:rStyle w:val="Hiperhivatkozs"/>
          <w:rFonts w:asciiTheme="minorHAnsi" w:hAnsiTheme="minorHAnsi" w:cstheme="minorHAnsi"/>
          <w:color w:val="auto"/>
          <w:sz w:val="20"/>
          <w:szCs w:val="20"/>
          <w:u w:val="none"/>
        </w:rPr>
        <w:t xml:space="preserve">into account what happens, how and why.  </w:t>
      </w:r>
      <w:r w:rsidR="00B338FC">
        <w:rPr>
          <w:rStyle w:val="Hiperhivatkozs"/>
          <w:rFonts w:asciiTheme="minorHAnsi" w:hAnsiTheme="minorHAnsi" w:cstheme="minorHAnsi"/>
          <w:color w:val="auto"/>
          <w:sz w:val="20"/>
          <w:szCs w:val="20"/>
          <w:u w:val="none"/>
        </w:rPr>
        <w:t xml:space="preserve">    </w:t>
      </w:r>
      <w:r>
        <w:rPr>
          <w:rStyle w:val="Hiperhivatkozs"/>
          <w:rFonts w:asciiTheme="minorHAnsi" w:hAnsiTheme="minorHAnsi" w:cstheme="minorHAnsi"/>
          <w:color w:val="auto"/>
          <w:sz w:val="20"/>
          <w:szCs w:val="20"/>
          <w:u w:val="none"/>
        </w:rPr>
        <w:t xml:space="preserve">       </w:t>
      </w:r>
    </w:p>
    <w:p w14:paraId="06933E0F" w14:textId="456E2ADE" w:rsidR="00544DB9" w:rsidRPr="00B56FE3" w:rsidRDefault="00544DB9" w:rsidP="00B56FE3">
      <w:pPr>
        <w:pStyle w:val="Lbjegyzetszveg"/>
        <w:jc w:val="both"/>
        <w:rPr>
          <w:rFonts w:asciiTheme="minorHAnsi" w:hAnsiTheme="minorHAnsi" w:cstheme="minorHAnsi"/>
          <w:lang w:val="en-US"/>
        </w:rPr>
      </w:pPr>
    </w:p>
  </w:footnote>
  <w:footnote w:id="7">
    <w:p w14:paraId="59C0691D" w14:textId="77777777" w:rsidR="00544DB9" w:rsidRPr="00453A9B" w:rsidRDefault="00544DB9" w:rsidP="00B56FE3">
      <w:pPr>
        <w:pStyle w:val="Lbjegyzetszveg"/>
        <w:jc w:val="both"/>
        <w:rPr>
          <w:lang w:val="en-US"/>
        </w:rPr>
      </w:pPr>
      <w:r w:rsidRPr="00B56FE3">
        <w:rPr>
          <w:rStyle w:val="Lbjegyzet-hivatkozs"/>
          <w:lang w:val="en-US"/>
        </w:rPr>
        <w:footnoteRef/>
      </w:r>
      <w:r w:rsidRPr="00B56FE3">
        <w:rPr>
          <w:lang w:val="en-US"/>
        </w:rPr>
        <w:t xml:space="preserve"> See for example the „Joint stat</w:t>
      </w:r>
      <w:r>
        <w:rPr>
          <w:lang w:val="en-US"/>
        </w:rPr>
        <w:t>e</w:t>
      </w:r>
      <w:r w:rsidRPr="00B56FE3">
        <w:rPr>
          <w:lang w:val="en-US"/>
        </w:rPr>
        <w:t xml:space="preserve">ment on transfer of value/value gap” </w:t>
      </w:r>
      <w:r>
        <w:rPr>
          <w:lang w:val="en-US"/>
        </w:rPr>
        <w:t xml:space="preserve">of October 27, 2017 </w:t>
      </w:r>
      <w:r w:rsidRPr="00B56FE3">
        <w:rPr>
          <w:lang w:val="en-US"/>
        </w:rPr>
        <w:t>on behalf</w:t>
      </w:r>
      <w:r>
        <w:rPr>
          <w:lang w:val="en-US"/>
        </w:rPr>
        <w:t xml:space="preserve"> </w:t>
      </w:r>
      <w:r w:rsidRPr="00B56FE3">
        <w:rPr>
          <w:lang w:val="en-US"/>
        </w:rPr>
        <w:t>o</w:t>
      </w:r>
      <w:r>
        <w:rPr>
          <w:lang w:val="en-US"/>
        </w:rPr>
        <w:t>f</w:t>
      </w:r>
      <w:r w:rsidRPr="00B56FE3">
        <w:rPr>
          <w:lang w:val="en-US"/>
        </w:rPr>
        <w:t xml:space="preserve"> 28 NGOs representing authors and othe</w:t>
      </w:r>
      <w:r>
        <w:rPr>
          <w:lang w:val="en-US"/>
        </w:rPr>
        <w:t>r</w:t>
      </w:r>
      <w:r w:rsidRPr="00B56FE3">
        <w:rPr>
          <w:lang w:val="en-US"/>
        </w:rPr>
        <w:t xml:space="preserve"> beneficiaries of copyright and related rights, including CISAC, GESAC, CIAM, CIAGP, SAA, FERA, FEP,  ICMP, IFPI, ACT, etc.) addressed to Axel Voss, rapporteur of the draft Directive, </w:t>
      </w:r>
      <w:r>
        <w:rPr>
          <w:lang w:val="en-US"/>
        </w:rPr>
        <w:t xml:space="preserve">available </w:t>
      </w:r>
      <w:r w:rsidRPr="00453A9B">
        <w:rPr>
          <w:lang w:val="en-US"/>
        </w:rPr>
        <w:t xml:space="preserve">at </w:t>
      </w:r>
      <w:hyperlink r:id="rId27" w:history="1">
        <w:r w:rsidRPr="00453A9B">
          <w:rPr>
            <w:rStyle w:val="Hiperhivatkozs"/>
            <w:color w:val="auto"/>
            <w:u w:val="none"/>
            <w:lang w:val="en-US"/>
          </w:rPr>
          <w:t>https://www.cisac.org/Newsroom/Society-News/Jpont-statement-on-trasfer-of-value-value-gap</w:t>
        </w:r>
      </w:hyperlink>
      <w:r w:rsidRPr="00453A9B">
        <w:rPr>
          <w:lang w:val="en-US"/>
        </w:rPr>
        <w:t xml:space="preserve">.    </w:t>
      </w:r>
    </w:p>
  </w:footnote>
  <w:footnote w:id="8">
    <w:p w14:paraId="458D690F" w14:textId="2BBEDDDA" w:rsidR="00544DB9" w:rsidRPr="00453A9B" w:rsidRDefault="00544DB9" w:rsidP="00B56FE3">
      <w:pPr>
        <w:pStyle w:val="Lbjegyzetszveg"/>
        <w:jc w:val="both"/>
        <w:rPr>
          <w:lang w:val="en-US"/>
        </w:rPr>
      </w:pPr>
      <w:r w:rsidRPr="00453A9B">
        <w:rPr>
          <w:rStyle w:val="Lbjegyzet-hivatkozs"/>
          <w:lang w:val="en-US"/>
        </w:rPr>
        <w:footnoteRef/>
      </w:r>
      <w:r w:rsidRPr="00453A9B">
        <w:rPr>
          <w:lang w:val="en-US"/>
        </w:rPr>
        <w:t xml:space="preserve"> Robert Levin</w:t>
      </w:r>
      <w:r>
        <w:rPr>
          <w:lang w:val="en-US"/>
        </w:rPr>
        <w:t>e</w:t>
      </w:r>
      <w:r w:rsidRPr="00453A9B">
        <w:rPr>
          <w:lang w:val="en-US"/>
        </w:rPr>
        <w:t xml:space="preserve">: </w:t>
      </w:r>
      <w:r w:rsidRPr="00453A9B">
        <w:rPr>
          <w:i/>
          <w:lang w:val="en-US"/>
        </w:rPr>
        <w:t>Free Ride – How Digital Parasites Are Destroying the Cultural Business, and How the Cultural Business Can Fight Back</w:t>
      </w:r>
      <w:r w:rsidRPr="00453A9B">
        <w:rPr>
          <w:lang w:val="en-US"/>
        </w:rPr>
        <w:t xml:space="preserve">, Doubleday, 2011.  </w:t>
      </w:r>
    </w:p>
  </w:footnote>
  <w:footnote w:id="9">
    <w:p w14:paraId="5D043106" w14:textId="77777777" w:rsidR="00544DB9" w:rsidRPr="00B56FE3" w:rsidRDefault="00544DB9" w:rsidP="00453A9B">
      <w:pPr>
        <w:pStyle w:val="Lbjegyzetszveg"/>
        <w:rPr>
          <w:lang w:val="en-US"/>
        </w:rPr>
      </w:pPr>
      <w:r w:rsidRPr="00B56FE3">
        <w:rPr>
          <w:rStyle w:val="Lbjegyzet-hivatkozs"/>
          <w:lang w:val="en-US"/>
        </w:rPr>
        <w:footnoteRef/>
      </w:r>
      <w:r w:rsidRPr="00B56FE3">
        <w:rPr>
          <w:lang w:val="en-US"/>
        </w:rPr>
        <w:t xml:space="preserve"> For the opinion of the ECA, see </w:t>
      </w:r>
      <w:hyperlink r:id="rId28" w:history="1">
        <w:r w:rsidRPr="00B56FE3">
          <w:rPr>
            <w:rStyle w:val="Hiperhivatkozs"/>
            <w:color w:val="auto"/>
            <w:u w:val="none"/>
            <w:lang w:val="en-US"/>
          </w:rPr>
          <w:t>https://europeancopyrightsocietydotorg.filesworkpress.com/2015/12/european-copyright-society-opinion-on_Svensson-firstsignatoriespaginatedv31.pdf</w:t>
        </w:r>
      </w:hyperlink>
      <w:r w:rsidRPr="00B56FE3">
        <w:rPr>
          <w:lang w:val="en-US"/>
        </w:rPr>
        <w:t xml:space="preserve">   </w:t>
      </w:r>
    </w:p>
  </w:footnote>
  <w:footnote w:id="10">
    <w:p w14:paraId="04D9A573" w14:textId="77777777" w:rsidR="00544DB9" w:rsidRPr="00B56FE3" w:rsidRDefault="00544DB9" w:rsidP="00B56FE3">
      <w:pPr>
        <w:pStyle w:val="Lbjegyzetszveg"/>
        <w:jc w:val="both"/>
        <w:rPr>
          <w:lang w:val="en-US"/>
        </w:rPr>
      </w:pPr>
      <w:r w:rsidRPr="00B56FE3">
        <w:rPr>
          <w:rStyle w:val="Lbjegyzet-hivatkozs"/>
          <w:lang w:val="en-US"/>
        </w:rPr>
        <w:footnoteRef/>
      </w:r>
      <w:r w:rsidRPr="00B56FE3">
        <w:rPr>
          <w:lang w:val="en-US"/>
        </w:rPr>
        <w:t xml:space="preserve"> For the opinion of ALAI, see </w:t>
      </w:r>
    </w:p>
    <w:p w14:paraId="2CACE054" w14:textId="2E434353" w:rsidR="00544DB9" w:rsidRPr="00B56FE3" w:rsidRDefault="00544DB9" w:rsidP="00B56FE3">
      <w:pPr>
        <w:pStyle w:val="Lbjegyzetszveg"/>
        <w:jc w:val="both"/>
        <w:rPr>
          <w:lang w:val="en-US"/>
        </w:rPr>
      </w:pPr>
      <w:r w:rsidRPr="00B56FE3">
        <w:rPr>
          <w:lang w:val="en-US"/>
        </w:rPr>
        <w:t xml:space="preserve">https://www.alai.org/en/assets/files/resolutions/making-available-right-report-opinion.pdf. </w:t>
      </w:r>
    </w:p>
  </w:footnote>
  <w:footnote w:id="11">
    <w:p w14:paraId="7F26CF27" w14:textId="77777777" w:rsidR="00544DB9" w:rsidRPr="00B56FE3" w:rsidRDefault="00544DB9" w:rsidP="00B56FE3">
      <w:pPr>
        <w:pStyle w:val="Lbjegyzetszveg"/>
        <w:jc w:val="both"/>
        <w:rPr>
          <w:lang w:val="en-US"/>
        </w:rPr>
      </w:pPr>
      <w:r w:rsidRPr="00B56FE3">
        <w:rPr>
          <w:rStyle w:val="Lbjegyzet-hivatkozs"/>
          <w:lang w:val="en-US"/>
        </w:rPr>
        <w:footnoteRef/>
      </w:r>
      <w:r w:rsidRPr="00B56FE3">
        <w:rPr>
          <w:lang w:val="en-US"/>
        </w:rPr>
        <w:t xml:space="preserve"> Judgment C-466/12 the CJEU adopted on February 13, 2014.   </w:t>
      </w:r>
    </w:p>
  </w:footnote>
  <w:footnote w:id="12">
    <w:p w14:paraId="0EE606CE" w14:textId="77777777" w:rsidR="00544DB9" w:rsidRPr="00E4343E" w:rsidRDefault="00544DB9">
      <w:pPr>
        <w:pStyle w:val="Lbjegyzetszveg"/>
        <w:rPr>
          <w:lang w:val="en-US"/>
        </w:rPr>
      </w:pPr>
      <w:r w:rsidRPr="00E4343E">
        <w:rPr>
          <w:rStyle w:val="Lbjegyzet-hivatkozs"/>
          <w:lang w:val="en-US"/>
        </w:rPr>
        <w:footnoteRef/>
      </w:r>
      <w:r w:rsidRPr="00E4343E">
        <w:rPr>
          <w:lang w:val="en-US"/>
        </w:rPr>
        <w:t xml:space="preserve"> See the references to the subsequent opinions in the text of the last one quoted below.   </w:t>
      </w:r>
    </w:p>
  </w:footnote>
  <w:footnote w:id="13">
    <w:p w14:paraId="299FB539" w14:textId="77777777" w:rsidR="00544DB9" w:rsidRPr="00E4343E" w:rsidRDefault="00544DB9">
      <w:pPr>
        <w:pStyle w:val="Lbjegyzetszveg"/>
        <w:rPr>
          <w:lang w:val="en-US"/>
        </w:rPr>
      </w:pPr>
      <w:r w:rsidRPr="00E4343E">
        <w:rPr>
          <w:rStyle w:val="Lbjegyzet-hivatkozs"/>
          <w:lang w:val="en-US"/>
        </w:rPr>
        <w:footnoteRef/>
      </w:r>
      <w:r w:rsidRPr="00E4343E">
        <w:rPr>
          <w:lang w:val="en-US"/>
        </w:rPr>
        <w:t xml:space="preserve"> Adopted on 21 March 2019.</w:t>
      </w:r>
    </w:p>
  </w:footnote>
  <w:footnote w:id="14">
    <w:p w14:paraId="6EF821DF" w14:textId="7DFB3F8C" w:rsidR="00544DB9" w:rsidRPr="00E96841" w:rsidRDefault="00544DB9" w:rsidP="00E96841">
      <w:pPr>
        <w:pStyle w:val="Lbjegyzetszveg"/>
        <w:jc w:val="both"/>
        <w:rPr>
          <w:lang w:val="en-US"/>
        </w:rPr>
      </w:pPr>
      <w:r w:rsidRPr="00E4343E">
        <w:rPr>
          <w:rStyle w:val="Lbjegyzet-hivatkozs"/>
          <w:lang w:val="en-US"/>
        </w:rPr>
        <w:footnoteRef/>
      </w:r>
      <w:r w:rsidRPr="00E4343E">
        <w:rPr>
          <w:lang w:val="en-US"/>
        </w:rPr>
        <w:t xml:space="preserve"> Although the members of the</w:t>
      </w:r>
      <w:r w:rsidRPr="00E96841">
        <w:rPr>
          <w:lang w:val="en-US"/>
        </w:rPr>
        <w:t xml:space="preserve"> European Parliament and the Council might have understood this statement in the „Open Letter” </w:t>
      </w:r>
      <w:r>
        <w:rPr>
          <w:lang w:val="en-US"/>
        </w:rPr>
        <w:t xml:space="preserve">in a way </w:t>
      </w:r>
      <w:r w:rsidRPr="00E96841">
        <w:rPr>
          <w:lang w:val="en-US"/>
        </w:rPr>
        <w:t xml:space="preserve">that there is truly </w:t>
      </w:r>
      <w:r>
        <w:rPr>
          <w:lang w:val="en-US"/>
        </w:rPr>
        <w:t xml:space="preserve">general </w:t>
      </w:r>
      <w:r w:rsidRPr="00E96841">
        <w:rPr>
          <w:lang w:val="en-US"/>
        </w:rPr>
        <w:t xml:space="preserve">„scientific consensus” among European academics  </w:t>
      </w:r>
      <w:r>
        <w:rPr>
          <w:lang w:val="en-US"/>
        </w:rPr>
        <w:t>c</w:t>
      </w:r>
      <w:r w:rsidRPr="00E96841">
        <w:rPr>
          <w:lang w:val="en-US"/>
        </w:rPr>
        <w:t>on</w:t>
      </w:r>
      <w:r>
        <w:rPr>
          <w:lang w:val="en-US"/>
        </w:rPr>
        <w:t xml:space="preserve">cerning </w:t>
      </w:r>
      <w:r w:rsidRPr="00E96841">
        <w:rPr>
          <w:lang w:val="en-US"/>
        </w:rPr>
        <w:t>th</w:t>
      </w:r>
      <w:r>
        <w:rPr>
          <w:lang w:val="en-US"/>
        </w:rPr>
        <w:t>at</w:t>
      </w:r>
      <w:r w:rsidRPr="00E96841">
        <w:rPr>
          <w:lang w:val="en-US"/>
        </w:rPr>
        <w:t xml:space="preserve"> </w:t>
      </w:r>
      <w:r>
        <w:rPr>
          <w:lang w:val="en-US"/>
        </w:rPr>
        <w:t>highly debated issue</w:t>
      </w:r>
      <w:r w:rsidRPr="00E96841">
        <w:rPr>
          <w:lang w:val="en-US"/>
        </w:rPr>
        <w:t>, the drafters certainly did not underst</w:t>
      </w:r>
      <w:r>
        <w:rPr>
          <w:lang w:val="en-US"/>
        </w:rPr>
        <w:t>an</w:t>
      </w:r>
      <w:r w:rsidRPr="00E96841">
        <w:rPr>
          <w:lang w:val="en-US"/>
        </w:rPr>
        <w:t>d it in that way. Certainly not, bec</w:t>
      </w:r>
      <w:r>
        <w:rPr>
          <w:lang w:val="en-US"/>
        </w:rPr>
        <w:t>a</w:t>
      </w:r>
      <w:r w:rsidRPr="00E96841">
        <w:rPr>
          <w:lang w:val="en-US"/>
        </w:rPr>
        <w:t xml:space="preserve">use otherwise they would have implied (i) either that the European academics participating in the adoption of the above-mentioned ALAI opinion also shared the </w:t>
      </w:r>
      <w:r>
        <w:rPr>
          <w:lang w:val="en-US"/>
        </w:rPr>
        <w:t>“consensus”</w:t>
      </w:r>
      <w:r w:rsidRPr="00E96841">
        <w:rPr>
          <w:lang w:val="en-US"/>
        </w:rPr>
        <w:t xml:space="preserve"> (which was obviously not the case; just the cont</w:t>
      </w:r>
      <w:r>
        <w:rPr>
          <w:lang w:val="en-US"/>
        </w:rPr>
        <w:t>r</w:t>
      </w:r>
      <w:r w:rsidRPr="00E96841">
        <w:rPr>
          <w:lang w:val="en-US"/>
        </w:rPr>
        <w:t xml:space="preserve">ary </w:t>
      </w:r>
      <w:r>
        <w:rPr>
          <w:lang w:val="en-US"/>
        </w:rPr>
        <w:t xml:space="preserve">was quite </w:t>
      </w:r>
      <w:r w:rsidRPr="00E96841">
        <w:rPr>
          <w:lang w:val="en-US"/>
        </w:rPr>
        <w:t>evident); or (ii) that the views expressed by ALAI w</w:t>
      </w:r>
      <w:r>
        <w:rPr>
          <w:lang w:val="en-US"/>
        </w:rPr>
        <w:t>ere</w:t>
      </w:r>
      <w:r w:rsidRPr="00E96841">
        <w:rPr>
          <w:lang w:val="en-US"/>
        </w:rPr>
        <w:t xml:space="preserve"> unscientific (which certainly was not the intention). Thus, it seems to be </w:t>
      </w:r>
      <w:r>
        <w:rPr>
          <w:lang w:val="en-US"/>
        </w:rPr>
        <w:t>certain</w:t>
      </w:r>
      <w:r w:rsidRPr="00E96841">
        <w:rPr>
          <w:lang w:val="en-US"/>
        </w:rPr>
        <w:t xml:space="preserve"> that</w:t>
      </w:r>
      <w:r>
        <w:rPr>
          <w:lang w:val="en-US"/>
        </w:rPr>
        <w:t>,</w:t>
      </w:r>
      <w:r w:rsidRPr="00E96841">
        <w:rPr>
          <w:lang w:val="en-US"/>
        </w:rPr>
        <w:t xml:space="preserve"> </w:t>
      </w:r>
      <w:r>
        <w:rPr>
          <w:lang w:val="en-US"/>
        </w:rPr>
        <w:t xml:space="preserve">by </w:t>
      </w:r>
      <w:r w:rsidRPr="00E96841">
        <w:rPr>
          <w:lang w:val="en-US"/>
        </w:rPr>
        <w:t>„scientific consensus”</w:t>
      </w:r>
      <w:r>
        <w:rPr>
          <w:lang w:val="en-US"/>
        </w:rPr>
        <w:t>,</w:t>
      </w:r>
      <w:r w:rsidRPr="00E96841">
        <w:rPr>
          <w:lang w:val="en-US"/>
        </w:rPr>
        <w:t xml:space="preserve"> </w:t>
      </w:r>
      <w:r>
        <w:rPr>
          <w:lang w:val="en-US"/>
        </w:rPr>
        <w:t xml:space="preserve">they just meant </w:t>
      </w:r>
      <w:r w:rsidRPr="00E96841">
        <w:rPr>
          <w:lang w:val="en-US"/>
        </w:rPr>
        <w:t>conse</w:t>
      </w:r>
      <w:r>
        <w:rPr>
          <w:lang w:val="en-US"/>
        </w:rPr>
        <w:t>n</w:t>
      </w:r>
      <w:r w:rsidRPr="00E96841">
        <w:rPr>
          <w:lang w:val="en-US"/>
        </w:rPr>
        <w:t>sus among themselves and their followers and not a European-level scientific consen</w:t>
      </w:r>
      <w:r>
        <w:rPr>
          <w:lang w:val="en-US"/>
        </w:rPr>
        <w:t>s</w:t>
      </w:r>
      <w:r w:rsidRPr="00E96841">
        <w:rPr>
          <w:lang w:val="en-US"/>
        </w:rPr>
        <w:t xml:space="preserve">us.           </w:t>
      </w:r>
    </w:p>
  </w:footnote>
  <w:footnote w:id="15">
    <w:p w14:paraId="403863DE" w14:textId="77777777" w:rsidR="00544DB9" w:rsidRDefault="00544DB9">
      <w:pPr>
        <w:pStyle w:val="Lbjegyzetszveg"/>
      </w:pPr>
      <w:r>
        <w:rPr>
          <w:rStyle w:val="Lbjegyzet-hivatkozs"/>
        </w:rPr>
        <w:footnoteRef/>
      </w:r>
      <w:r>
        <w:t xml:space="preserve"> The text of the Open Letter is available at https://www.create.ac.uk/blog/2018/04/26/european_copright_ditective_failing.</w:t>
      </w:r>
    </w:p>
  </w:footnote>
  <w:footnote w:id="16">
    <w:p w14:paraId="4E5C1F3A" w14:textId="77777777" w:rsidR="00544DB9" w:rsidRDefault="00544DB9">
      <w:pPr>
        <w:pStyle w:val="Lbjegyzetszveg"/>
      </w:pPr>
      <w:r>
        <w:rPr>
          <w:rStyle w:val="Lbjegyzet-hivatkozs"/>
        </w:rPr>
        <w:footnoteRef/>
      </w:r>
      <w:r>
        <w:t xml:space="preserve"> The text of the document is available at </w:t>
      </w:r>
      <w:hyperlink r:id="rId29" w:history="1">
        <w:r w:rsidRPr="00806EDC">
          <w:rPr>
            <w:rStyle w:val="Hiperhivatkozs"/>
            <w:color w:val="auto"/>
            <w:u w:val="none"/>
          </w:rPr>
          <w:t>https://uva.nl/ws/files/44253510/43688117.pdf</w:t>
        </w:r>
      </w:hyperlink>
      <w:r w:rsidRPr="00806EDC">
        <w:t xml:space="preserve">. </w:t>
      </w:r>
    </w:p>
  </w:footnote>
  <w:footnote w:id="17">
    <w:p w14:paraId="3F26DD45" w14:textId="12FD36DF" w:rsidR="00544DB9" w:rsidRPr="00481C19" w:rsidRDefault="00544DB9" w:rsidP="00481C19">
      <w:pPr>
        <w:pStyle w:val="Lbjegyzetszveg"/>
        <w:jc w:val="both"/>
        <w:rPr>
          <w:lang w:val="en-US"/>
        </w:rPr>
      </w:pPr>
      <w:r w:rsidRPr="00481C19">
        <w:rPr>
          <w:rStyle w:val="Lbjegyzet-hivatkozs"/>
          <w:lang w:val="en-US"/>
        </w:rPr>
        <w:footnoteRef/>
      </w:r>
      <w:r w:rsidRPr="00481C19">
        <w:rPr>
          <w:lang w:val="en-US"/>
        </w:rPr>
        <w:t xml:space="preserve"> For the reasons for which mandatory collective management is a limitation of exclusive rights, </w:t>
      </w:r>
      <w:r w:rsidRPr="00481C19">
        <w:rPr>
          <w:i/>
          <w:lang w:val="en-US"/>
        </w:rPr>
        <w:t>s</w:t>
      </w:r>
      <w:r w:rsidRPr="00481C19">
        <w:rPr>
          <w:lang w:val="en-US"/>
        </w:rPr>
        <w:t>ee my chapter entitled „Collective Rights Management from the Viewpoint of International Treaties, with Special Attention to the ’</w:t>
      </w:r>
      <w:r w:rsidRPr="00481C19">
        <w:rPr>
          <w:i/>
          <w:lang w:val="en-US"/>
        </w:rPr>
        <w:t>Acqui</w:t>
      </w:r>
      <w:r>
        <w:rPr>
          <w:i/>
          <w:lang w:val="en-US"/>
        </w:rPr>
        <w:t>s</w:t>
      </w:r>
      <w:r w:rsidRPr="00481C19">
        <w:rPr>
          <w:i/>
          <w:lang w:val="en-US"/>
        </w:rPr>
        <w:t>’</w:t>
      </w:r>
      <w:r w:rsidRPr="00481C19">
        <w:rPr>
          <w:lang w:val="en-US"/>
        </w:rPr>
        <w:t xml:space="preserve">”, Chapter 2 in Daniel Gervais: </w:t>
      </w:r>
      <w:r w:rsidRPr="00481C19">
        <w:rPr>
          <w:i/>
          <w:lang w:val="en-US"/>
        </w:rPr>
        <w:t>Collective Management of Copyright and Related Rights</w:t>
      </w:r>
      <w:r w:rsidRPr="00481C19">
        <w:rPr>
          <w:lang w:val="en-US"/>
        </w:rPr>
        <w:t xml:space="preserve">, </w:t>
      </w:r>
      <w:r w:rsidRPr="00481C19">
        <w:rPr>
          <w:i/>
          <w:lang w:val="en-US"/>
        </w:rPr>
        <w:t xml:space="preserve">Third Edition, </w:t>
      </w:r>
      <w:r w:rsidRPr="00481C19">
        <w:rPr>
          <w:lang w:val="en-US"/>
        </w:rPr>
        <w:t xml:space="preserve">Wolters Kluwer, 2016, pp. 31 to 79.     </w:t>
      </w:r>
    </w:p>
  </w:footnote>
  <w:footnote w:id="18">
    <w:p w14:paraId="55B4BF45" w14:textId="77777777" w:rsidR="00544DB9" w:rsidRDefault="00544DB9" w:rsidP="002E7D3D">
      <w:pPr>
        <w:pStyle w:val="Lbjegyzetszveg"/>
        <w:jc w:val="both"/>
        <w:rPr>
          <w:lang w:val="en-US"/>
        </w:rPr>
      </w:pPr>
      <w:r w:rsidRPr="002E7D3D">
        <w:rPr>
          <w:rStyle w:val="Lbjegyzet-hivatkozs"/>
          <w:lang w:val="en-US"/>
        </w:rPr>
        <w:footnoteRef/>
      </w:r>
      <w:r w:rsidRPr="002E7D3D">
        <w:rPr>
          <w:lang w:val="en-US"/>
        </w:rPr>
        <w:t xml:space="preserve"> </w:t>
      </w:r>
      <w:r>
        <w:rPr>
          <w:lang w:val="en-US"/>
        </w:rPr>
        <w:t xml:space="preserve">Three comments should be added to this: </w:t>
      </w:r>
    </w:p>
    <w:p w14:paraId="5158D6C6" w14:textId="3759ECAC" w:rsidR="00544DB9" w:rsidRDefault="00544DB9" w:rsidP="002E7D3D">
      <w:pPr>
        <w:pStyle w:val="Lbjegyzetszveg"/>
        <w:jc w:val="both"/>
        <w:rPr>
          <w:lang w:val="en-US"/>
        </w:rPr>
      </w:pPr>
      <w:r>
        <w:rPr>
          <w:lang w:val="en-US"/>
        </w:rPr>
        <w:t xml:space="preserve">First, it is hardly imaginable to limit blocking on bases other than such objective criteria, in particular if it was based – as it would be desirable – on some software solution. A limitation certainly could not be based on such a criterion as, for example, in connection with the parody exception, whether or not it is sufficiently humorous.  </w:t>
      </w:r>
    </w:p>
    <w:p w14:paraId="75E7CE66" w14:textId="76E3EAB2" w:rsidR="00544DB9" w:rsidRDefault="00544DB9" w:rsidP="002E7D3D">
      <w:pPr>
        <w:pStyle w:val="Lbjegyzetszveg"/>
        <w:jc w:val="both"/>
        <w:rPr>
          <w:lang w:val="en-US"/>
        </w:rPr>
      </w:pPr>
      <w:r>
        <w:rPr>
          <w:lang w:val="en-US"/>
        </w:rPr>
        <w:t xml:space="preserve">Second, on the basis of the text, its context and the stated objectives of Article 17(9) of the Directive, the exclusion of blocking for cases other than those where a full work or other protected material is used – as suggested by the Recommendation – is far from being an acceptable idea. If such an idea was applied, there would hardly be any case where the OCSSPs would be obligated to apply Article 17(4)(b); the provision would be practically abolished along with the need for any complaint and redress mechanism under Article 17(9). Nearly always the rightholders would have to prove – while their works or other protected materials would continue being available to the Internet population – that there was infringement and that, therefore, as the Recommendations suggests, the OCSSPs would be “allowed” to block access. </w:t>
      </w:r>
    </w:p>
    <w:p w14:paraId="043B0DB0" w14:textId="0A56A49E" w:rsidR="00544DB9" w:rsidRPr="002E7D3D" w:rsidRDefault="00544DB9" w:rsidP="002E7D3D">
      <w:pPr>
        <w:pStyle w:val="Lbjegyzetszveg"/>
        <w:jc w:val="both"/>
        <w:rPr>
          <w:lang w:val="en-US"/>
        </w:rPr>
      </w:pPr>
      <w:r>
        <w:rPr>
          <w:lang w:val="en-US"/>
        </w:rPr>
        <w:t>Third, o</w:t>
      </w:r>
      <w:r w:rsidRPr="002E7D3D">
        <w:rPr>
          <w:lang w:val="en-US"/>
        </w:rPr>
        <w:t>f course</w:t>
      </w:r>
      <w:r>
        <w:rPr>
          <w:lang w:val="en-US"/>
        </w:rPr>
        <w:t>,</w:t>
      </w:r>
      <w:r w:rsidRPr="002E7D3D">
        <w:rPr>
          <w:lang w:val="en-US"/>
        </w:rPr>
        <w:t xml:space="preserve"> the</w:t>
      </w:r>
      <w:r>
        <w:rPr>
          <w:lang w:val="en-US"/>
        </w:rPr>
        <w:t xml:space="preserve"> application </w:t>
      </w:r>
      <w:r w:rsidRPr="002E7D3D">
        <w:rPr>
          <w:lang w:val="en-US"/>
        </w:rPr>
        <w:t>of a volume-based limitation of blocking would</w:t>
      </w:r>
      <w:r>
        <w:rPr>
          <w:lang w:val="en-US"/>
        </w:rPr>
        <w:t xml:space="preserve"> have to</w:t>
      </w:r>
      <w:r w:rsidRPr="002E7D3D">
        <w:rPr>
          <w:lang w:val="en-US"/>
        </w:rPr>
        <w:t xml:space="preserve"> depend </w:t>
      </w:r>
      <w:r>
        <w:rPr>
          <w:lang w:val="en-US"/>
        </w:rPr>
        <w:t xml:space="preserve">also </w:t>
      </w:r>
      <w:r w:rsidRPr="002E7D3D">
        <w:rPr>
          <w:lang w:val="en-US"/>
        </w:rPr>
        <w:t>on the genre</w:t>
      </w:r>
      <w:r>
        <w:rPr>
          <w:lang w:val="en-US"/>
        </w:rPr>
        <w:t>s</w:t>
      </w:r>
      <w:r w:rsidRPr="002E7D3D">
        <w:rPr>
          <w:lang w:val="en-US"/>
        </w:rPr>
        <w:t xml:space="preserve"> of works and other protected </w:t>
      </w:r>
      <w:r>
        <w:rPr>
          <w:lang w:val="en-US"/>
        </w:rPr>
        <w:t>materials concerned</w:t>
      </w:r>
      <w:r w:rsidRPr="002E7D3D">
        <w:rPr>
          <w:lang w:val="en-US"/>
        </w:rPr>
        <w:t xml:space="preserve">. </w:t>
      </w:r>
      <w:r>
        <w:rPr>
          <w:lang w:val="en-US"/>
        </w:rPr>
        <w:t xml:space="preserve">There </w:t>
      </w:r>
      <w:r w:rsidRPr="002E7D3D">
        <w:rPr>
          <w:lang w:val="en-US"/>
        </w:rPr>
        <w:t>would be differen</w:t>
      </w:r>
      <w:r>
        <w:rPr>
          <w:lang w:val="en-US"/>
        </w:rPr>
        <w:t>ces between</w:t>
      </w:r>
      <w:r w:rsidRPr="002E7D3D">
        <w:rPr>
          <w:lang w:val="en-US"/>
        </w:rPr>
        <w:t xml:space="preserve"> audiovisual works, e-books</w:t>
      </w:r>
      <w:r>
        <w:rPr>
          <w:lang w:val="en-US"/>
        </w:rPr>
        <w:t xml:space="preserve">, </w:t>
      </w:r>
      <w:r w:rsidRPr="002E7D3D">
        <w:rPr>
          <w:lang w:val="en-US"/>
        </w:rPr>
        <w:t>phonograms</w:t>
      </w:r>
      <w:r>
        <w:rPr>
          <w:lang w:val="en-US"/>
        </w:rPr>
        <w:t xml:space="preserve">, and so on, </w:t>
      </w:r>
      <w:r w:rsidRPr="002E7D3D">
        <w:rPr>
          <w:lang w:val="en-US"/>
        </w:rPr>
        <w:t xml:space="preserve">and certainly </w:t>
      </w:r>
      <w:r>
        <w:rPr>
          <w:lang w:val="en-US"/>
        </w:rPr>
        <w:t xml:space="preserve">even more  in respect of </w:t>
      </w:r>
      <w:r w:rsidRPr="002E7D3D">
        <w:rPr>
          <w:lang w:val="en-US"/>
        </w:rPr>
        <w:t>works of art an</w:t>
      </w:r>
      <w:r>
        <w:rPr>
          <w:lang w:val="en-US"/>
        </w:rPr>
        <w:t>d</w:t>
      </w:r>
      <w:r w:rsidRPr="002E7D3D">
        <w:rPr>
          <w:lang w:val="en-US"/>
        </w:rPr>
        <w:t xml:space="preserve"> photographic works.        </w:t>
      </w:r>
    </w:p>
  </w:footnote>
  <w:footnote w:id="19">
    <w:p w14:paraId="51037ACE" w14:textId="77777777" w:rsidR="00544DB9" w:rsidRDefault="00544DB9">
      <w:pPr>
        <w:pStyle w:val="Lbjegyzetszveg"/>
      </w:pPr>
      <w:r>
        <w:rPr>
          <w:rStyle w:val="Lbjegyzet-hivatkozs"/>
        </w:rPr>
        <w:footnoteRef/>
      </w:r>
      <w:r>
        <w:t xml:space="preserve"> Available at ugcprinciples.com. </w:t>
      </w:r>
    </w:p>
  </w:footnote>
  <w:footnote w:id="20">
    <w:p w14:paraId="0D8B0968" w14:textId="77777777" w:rsidR="00544DB9" w:rsidRPr="00D14810" w:rsidRDefault="00544DB9">
      <w:pPr>
        <w:pStyle w:val="Lbjegyzetszveg"/>
        <w:rPr>
          <w:rFonts w:asciiTheme="minorHAnsi" w:hAnsiTheme="minorHAnsi" w:cstheme="minorHAnsi"/>
        </w:rPr>
      </w:pPr>
      <w:r w:rsidRPr="00D14810">
        <w:rPr>
          <w:rStyle w:val="Lbjegyzet-hivatkozs"/>
          <w:rFonts w:asciiTheme="minorHAnsi" w:hAnsiTheme="minorHAnsi" w:cstheme="minorHAnsi"/>
        </w:rPr>
        <w:footnoteRef/>
      </w:r>
      <w:r w:rsidRPr="00D14810">
        <w:rPr>
          <w:rFonts w:asciiTheme="minorHAnsi" w:hAnsiTheme="minorHAnsi" w:cstheme="minorHAnsi"/>
        </w:rPr>
        <w:t xml:space="preserve"> See WTO document WT/DS114/R of March 17, 2000. </w:t>
      </w:r>
    </w:p>
  </w:footnote>
  <w:footnote w:id="21">
    <w:p w14:paraId="29F482B8" w14:textId="77777777" w:rsidR="00544DB9" w:rsidRPr="00D14810" w:rsidRDefault="00544DB9" w:rsidP="00497B03">
      <w:pPr>
        <w:pStyle w:val="Lbjegyzetszveg"/>
        <w:jc w:val="both"/>
        <w:rPr>
          <w:rFonts w:asciiTheme="minorHAnsi" w:hAnsiTheme="minorHAnsi" w:cstheme="minorHAnsi"/>
        </w:rPr>
      </w:pPr>
      <w:r w:rsidRPr="00D14810">
        <w:rPr>
          <w:rStyle w:val="Lbjegyzet-hivatkozs"/>
          <w:rFonts w:asciiTheme="minorHAnsi" w:hAnsiTheme="minorHAnsi" w:cstheme="minorHAnsi"/>
          <w:lang w:val="en-US"/>
        </w:rPr>
        <w:footnoteRef/>
      </w:r>
      <w:r w:rsidRPr="00D14810">
        <w:rPr>
          <w:rFonts w:asciiTheme="minorHAnsi" w:hAnsiTheme="minorHAnsi" w:cstheme="minorHAnsi"/>
          <w:lang w:val="en-US"/>
        </w:rPr>
        <w:t xml:space="preserve"> [Footnote 2 in the original text] </w:t>
      </w:r>
      <w:r w:rsidRPr="00D14810">
        <w:rPr>
          <w:rFonts w:asciiTheme="minorHAnsi" w:hAnsiTheme="minorHAnsi" w:cstheme="minorHAnsi"/>
          <w:i/>
          <w:lang w:val="en-US"/>
        </w:rPr>
        <w:t>CCH Canadian Ltd v. Law Society of Upper Canada</w:t>
      </w:r>
      <w:r w:rsidRPr="00D14810">
        <w:rPr>
          <w:rFonts w:asciiTheme="minorHAnsi" w:hAnsiTheme="minorHAnsi" w:cstheme="minorHAnsi"/>
          <w:lang w:val="en-US"/>
        </w:rPr>
        <w:t xml:space="preserve">, [2004] 1 SCR 339 (hereinafter: CCH). </w:t>
      </w:r>
    </w:p>
  </w:footnote>
  <w:footnote w:id="22">
    <w:p w14:paraId="24479F91" w14:textId="77777777" w:rsidR="00544DB9" w:rsidRPr="005E63E4" w:rsidRDefault="00544DB9" w:rsidP="00EF16E6">
      <w:pPr>
        <w:pStyle w:val="Lbjegyzetszveg"/>
        <w:jc w:val="both"/>
        <w:rPr>
          <w:rFonts w:asciiTheme="minorHAnsi" w:hAnsiTheme="minorHAnsi" w:cstheme="minorHAnsi"/>
          <w:lang w:val="en-US"/>
        </w:rPr>
      </w:pPr>
      <w:r w:rsidRPr="005E63E4">
        <w:rPr>
          <w:rStyle w:val="Lbjegyzet-hivatkozs"/>
          <w:rFonts w:asciiTheme="minorHAnsi" w:hAnsiTheme="minorHAnsi" w:cstheme="minorHAnsi"/>
          <w:lang w:val="en-US"/>
        </w:rPr>
        <w:footnoteRef/>
      </w:r>
      <w:r w:rsidRPr="005E63E4">
        <w:rPr>
          <w:rFonts w:asciiTheme="minorHAnsi" w:hAnsiTheme="minorHAnsi" w:cstheme="minorHAnsi"/>
          <w:lang w:val="en-US"/>
        </w:rPr>
        <w:t xml:space="preserve"> [Footnote 3 in the original text] </w:t>
      </w:r>
      <w:r w:rsidRPr="005E63E4">
        <w:rPr>
          <w:rFonts w:asciiTheme="minorHAnsi" w:hAnsiTheme="minorHAnsi" w:cstheme="minorHAnsi"/>
          <w:i/>
          <w:lang w:val="en-US"/>
        </w:rPr>
        <w:t>Alberta (Education) v Canadian Copyright Licensing Agency (Access Copyright)</w:t>
      </w:r>
      <w:r w:rsidRPr="005E63E4">
        <w:rPr>
          <w:rFonts w:asciiTheme="minorHAnsi" w:hAnsiTheme="minorHAnsi" w:cstheme="minorHAnsi"/>
          <w:lang w:val="en-US"/>
        </w:rPr>
        <w:t xml:space="preserve">, 2012 SCC 37, [2012] 2 SCR 345 (hereinafter: Alberta (Education)).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17099"/>
    <w:multiLevelType w:val="hybridMultilevel"/>
    <w:tmpl w:val="D51414E6"/>
    <w:lvl w:ilvl="0" w:tplc="2766F1C8">
      <w:start w:val="67"/>
      <w:numFmt w:val="decimal"/>
      <w:lvlText w:val="(%1)"/>
      <w:lvlJc w:val="left"/>
      <w:pPr>
        <w:ind w:left="644" w:hanging="538"/>
      </w:pPr>
      <w:rPr>
        <w:rFonts w:ascii="PMingLiU" w:eastAsia="PMingLiU" w:hAnsi="PMingLiU" w:cs="PMingLiU" w:hint="eastAsia"/>
        <w:w w:val="102"/>
        <w:sz w:val="19"/>
        <w:szCs w:val="19"/>
        <w:lang w:val="en-US" w:eastAsia="en-US" w:bidi="en-US"/>
      </w:rPr>
    </w:lvl>
    <w:lvl w:ilvl="1" w:tplc="1C0449FC">
      <w:numFmt w:val="bullet"/>
      <w:lvlText w:val="•"/>
      <w:lvlJc w:val="left"/>
      <w:pPr>
        <w:ind w:left="1520" w:hanging="538"/>
      </w:pPr>
      <w:rPr>
        <w:lang w:val="en-US" w:eastAsia="en-US" w:bidi="en-US"/>
      </w:rPr>
    </w:lvl>
    <w:lvl w:ilvl="2" w:tplc="CA4446FC">
      <w:numFmt w:val="bullet"/>
      <w:lvlText w:val="•"/>
      <w:lvlJc w:val="left"/>
      <w:pPr>
        <w:ind w:left="2401" w:hanging="538"/>
      </w:pPr>
      <w:rPr>
        <w:lang w:val="en-US" w:eastAsia="en-US" w:bidi="en-US"/>
      </w:rPr>
    </w:lvl>
    <w:lvl w:ilvl="3" w:tplc="8D4AD010">
      <w:numFmt w:val="bullet"/>
      <w:lvlText w:val="•"/>
      <w:lvlJc w:val="left"/>
      <w:pPr>
        <w:ind w:left="3281" w:hanging="538"/>
      </w:pPr>
      <w:rPr>
        <w:lang w:val="en-US" w:eastAsia="en-US" w:bidi="en-US"/>
      </w:rPr>
    </w:lvl>
    <w:lvl w:ilvl="4" w:tplc="9D24D832">
      <w:numFmt w:val="bullet"/>
      <w:lvlText w:val="•"/>
      <w:lvlJc w:val="left"/>
      <w:pPr>
        <w:ind w:left="4162" w:hanging="538"/>
      </w:pPr>
      <w:rPr>
        <w:lang w:val="en-US" w:eastAsia="en-US" w:bidi="en-US"/>
      </w:rPr>
    </w:lvl>
    <w:lvl w:ilvl="5" w:tplc="B0066A08">
      <w:numFmt w:val="bullet"/>
      <w:lvlText w:val="•"/>
      <w:lvlJc w:val="left"/>
      <w:pPr>
        <w:ind w:left="5042" w:hanging="538"/>
      </w:pPr>
      <w:rPr>
        <w:lang w:val="en-US" w:eastAsia="en-US" w:bidi="en-US"/>
      </w:rPr>
    </w:lvl>
    <w:lvl w:ilvl="6" w:tplc="0EE605C2">
      <w:numFmt w:val="bullet"/>
      <w:lvlText w:val="•"/>
      <w:lvlJc w:val="left"/>
      <w:pPr>
        <w:ind w:left="5923" w:hanging="538"/>
      </w:pPr>
      <w:rPr>
        <w:lang w:val="en-US" w:eastAsia="en-US" w:bidi="en-US"/>
      </w:rPr>
    </w:lvl>
    <w:lvl w:ilvl="7" w:tplc="421CA000">
      <w:numFmt w:val="bullet"/>
      <w:lvlText w:val="•"/>
      <w:lvlJc w:val="left"/>
      <w:pPr>
        <w:ind w:left="6803" w:hanging="538"/>
      </w:pPr>
      <w:rPr>
        <w:lang w:val="en-US" w:eastAsia="en-US" w:bidi="en-US"/>
      </w:rPr>
    </w:lvl>
    <w:lvl w:ilvl="8" w:tplc="AD367F42">
      <w:numFmt w:val="bullet"/>
      <w:lvlText w:val="•"/>
      <w:lvlJc w:val="left"/>
      <w:pPr>
        <w:ind w:left="7684" w:hanging="538"/>
      </w:pPr>
      <w:rPr>
        <w:lang w:val="en-US" w:eastAsia="en-US" w:bidi="en-US"/>
      </w:rPr>
    </w:lvl>
  </w:abstractNum>
  <w:abstractNum w:abstractNumId="1">
    <w:nsid w:val="091C38C8"/>
    <w:multiLevelType w:val="hybridMultilevel"/>
    <w:tmpl w:val="00A880B0"/>
    <w:lvl w:ilvl="0" w:tplc="661A7F94">
      <w:numFmt w:val="bullet"/>
      <w:lvlText w:val=""/>
      <w:lvlJc w:val="left"/>
      <w:pPr>
        <w:ind w:left="1020" w:hanging="360"/>
      </w:pPr>
      <w:rPr>
        <w:rFonts w:ascii="Symbol" w:eastAsia="Symbol" w:hAnsi="Symbol" w:cs="Symbol" w:hint="default"/>
        <w:w w:val="100"/>
        <w:sz w:val="24"/>
        <w:szCs w:val="24"/>
        <w:lang w:val="en-US" w:eastAsia="en-US" w:bidi="en-US"/>
      </w:rPr>
    </w:lvl>
    <w:lvl w:ilvl="1" w:tplc="DBEA4C30">
      <w:numFmt w:val="bullet"/>
      <w:lvlText w:val="•"/>
      <w:lvlJc w:val="left"/>
      <w:pPr>
        <w:ind w:left="1928" w:hanging="360"/>
      </w:pPr>
      <w:rPr>
        <w:lang w:val="en-US" w:eastAsia="en-US" w:bidi="en-US"/>
      </w:rPr>
    </w:lvl>
    <w:lvl w:ilvl="2" w:tplc="4852D7A6">
      <w:numFmt w:val="bullet"/>
      <w:lvlText w:val="•"/>
      <w:lvlJc w:val="left"/>
      <w:pPr>
        <w:ind w:left="2836" w:hanging="360"/>
      </w:pPr>
      <w:rPr>
        <w:lang w:val="en-US" w:eastAsia="en-US" w:bidi="en-US"/>
      </w:rPr>
    </w:lvl>
    <w:lvl w:ilvl="3" w:tplc="AE1E44FC">
      <w:numFmt w:val="bullet"/>
      <w:lvlText w:val="•"/>
      <w:lvlJc w:val="left"/>
      <w:pPr>
        <w:ind w:left="3744" w:hanging="360"/>
      </w:pPr>
      <w:rPr>
        <w:lang w:val="en-US" w:eastAsia="en-US" w:bidi="en-US"/>
      </w:rPr>
    </w:lvl>
    <w:lvl w:ilvl="4" w:tplc="FC529832">
      <w:numFmt w:val="bullet"/>
      <w:lvlText w:val="•"/>
      <w:lvlJc w:val="left"/>
      <w:pPr>
        <w:ind w:left="4652" w:hanging="360"/>
      </w:pPr>
      <w:rPr>
        <w:lang w:val="en-US" w:eastAsia="en-US" w:bidi="en-US"/>
      </w:rPr>
    </w:lvl>
    <w:lvl w:ilvl="5" w:tplc="50AA091A">
      <w:numFmt w:val="bullet"/>
      <w:lvlText w:val="•"/>
      <w:lvlJc w:val="left"/>
      <w:pPr>
        <w:ind w:left="5560" w:hanging="360"/>
      </w:pPr>
      <w:rPr>
        <w:lang w:val="en-US" w:eastAsia="en-US" w:bidi="en-US"/>
      </w:rPr>
    </w:lvl>
    <w:lvl w:ilvl="6" w:tplc="8304DA1C">
      <w:numFmt w:val="bullet"/>
      <w:lvlText w:val="•"/>
      <w:lvlJc w:val="left"/>
      <w:pPr>
        <w:ind w:left="6468" w:hanging="360"/>
      </w:pPr>
      <w:rPr>
        <w:lang w:val="en-US" w:eastAsia="en-US" w:bidi="en-US"/>
      </w:rPr>
    </w:lvl>
    <w:lvl w:ilvl="7" w:tplc="E1006258">
      <w:numFmt w:val="bullet"/>
      <w:lvlText w:val="•"/>
      <w:lvlJc w:val="left"/>
      <w:pPr>
        <w:ind w:left="7376" w:hanging="360"/>
      </w:pPr>
      <w:rPr>
        <w:lang w:val="en-US" w:eastAsia="en-US" w:bidi="en-US"/>
      </w:rPr>
    </w:lvl>
    <w:lvl w:ilvl="8" w:tplc="20AE1DA6">
      <w:numFmt w:val="bullet"/>
      <w:lvlText w:val="•"/>
      <w:lvlJc w:val="left"/>
      <w:pPr>
        <w:ind w:left="8284" w:hanging="360"/>
      </w:pPr>
      <w:rPr>
        <w:lang w:val="en-US" w:eastAsia="en-US" w:bidi="en-US"/>
      </w:rPr>
    </w:lvl>
  </w:abstractNum>
  <w:abstractNum w:abstractNumId="2">
    <w:nsid w:val="24896000"/>
    <w:multiLevelType w:val="hybridMultilevel"/>
    <w:tmpl w:val="528C31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329C5AA6"/>
    <w:multiLevelType w:val="hybridMultilevel"/>
    <w:tmpl w:val="D2F81EF4"/>
    <w:lvl w:ilvl="0" w:tplc="F8B61CAE">
      <w:start w:val="59"/>
      <w:numFmt w:val="decimal"/>
      <w:lvlText w:val="(%1)"/>
      <w:lvlJc w:val="left"/>
      <w:pPr>
        <w:ind w:left="644" w:hanging="538"/>
      </w:pPr>
      <w:rPr>
        <w:rFonts w:ascii="PMingLiU" w:eastAsia="PMingLiU" w:hAnsi="PMingLiU" w:cs="PMingLiU" w:hint="eastAsia"/>
        <w:w w:val="102"/>
        <w:sz w:val="19"/>
        <w:szCs w:val="19"/>
        <w:lang w:val="en-US" w:eastAsia="en-US" w:bidi="en-US"/>
      </w:rPr>
    </w:lvl>
    <w:lvl w:ilvl="1" w:tplc="BF4EC53A">
      <w:numFmt w:val="bullet"/>
      <w:lvlText w:val="•"/>
      <w:lvlJc w:val="left"/>
      <w:pPr>
        <w:ind w:left="1520" w:hanging="538"/>
      </w:pPr>
      <w:rPr>
        <w:lang w:val="en-US" w:eastAsia="en-US" w:bidi="en-US"/>
      </w:rPr>
    </w:lvl>
    <w:lvl w:ilvl="2" w:tplc="E598BE94">
      <w:numFmt w:val="bullet"/>
      <w:lvlText w:val="•"/>
      <w:lvlJc w:val="left"/>
      <w:pPr>
        <w:ind w:left="2401" w:hanging="538"/>
      </w:pPr>
      <w:rPr>
        <w:lang w:val="en-US" w:eastAsia="en-US" w:bidi="en-US"/>
      </w:rPr>
    </w:lvl>
    <w:lvl w:ilvl="3" w:tplc="CFAEFE42">
      <w:numFmt w:val="bullet"/>
      <w:lvlText w:val="•"/>
      <w:lvlJc w:val="left"/>
      <w:pPr>
        <w:ind w:left="3281" w:hanging="538"/>
      </w:pPr>
      <w:rPr>
        <w:lang w:val="en-US" w:eastAsia="en-US" w:bidi="en-US"/>
      </w:rPr>
    </w:lvl>
    <w:lvl w:ilvl="4" w:tplc="D494BF16">
      <w:numFmt w:val="bullet"/>
      <w:lvlText w:val="•"/>
      <w:lvlJc w:val="left"/>
      <w:pPr>
        <w:ind w:left="4162" w:hanging="538"/>
      </w:pPr>
      <w:rPr>
        <w:lang w:val="en-US" w:eastAsia="en-US" w:bidi="en-US"/>
      </w:rPr>
    </w:lvl>
    <w:lvl w:ilvl="5" w:tplc="4D5885E2">
      <w:numFmt w:val="bullet"/>
      <w:lvlText w:val="•"/>
      <w:lvlJc w:val="left"/>
      <w:pPr>
        <w:ind w:left="5042" w:hanging="538"/>
      </w:pPr>
      <w:rPr>
        <w:lang w:val="en-US" w:eastAsia="en-US" w:bidi="en-US"/>
      </w:rPr>
    </w:lvl>
    <w:lvl w:ilvl="6" w:tplc="ACCA57F8">
      <w:numFmt w:val="bullet"/>
      <w:lvlText w:val="•"/>
      <w:lvlJc w:val="left"/>
      <w:pPr>
        <w:ind w:left="5923" w:hanging="538"/>
      </w:pPr>
      <w:rPr>
        <w:lang w:val="en-US" w:eastAsia="en-US" w:bidi="en-US"/>
      </w:rPr>
    </w:lvl>
    <w:lvl w:ilvl="7" w:tplc="3670E894">
      <w:numFmt w:val="bullet"/>
      <w:lvlText w:val="•"/>
      <w:lvlJc w:val="left"/>
      <w:pPr>
        <w:ind w:left="6803" w:hanging="538"/>
      </w:pPr>
      <w:rPr>
        <w:lang w:val="en-US" w:eastAsia="en-US" w:bidi="en-US"/>
      </w:rPr>
    </w:lvl>
    <w:lvl w:ilvl="8" w:tplc="FD36A24C">
      <w:numFmt w:val="bullet"/>
      <w:lvlText w:val="•"/>
      <w:lvlJc w:val="left"/>
      <w:pPr>
        <w:ind w:left="7684" w:hanging="538"/>
      </w:pPr>
      <w:rPr>
        <w:lang w:val="en-US" w:eastAsia="en-US" w:bidi="en-US"/>
      </w:rPr>
    </w:lvl>
  </w:abstractNum>
  <w:abstractNum w:abstractNumId="4">
    <w:nsid w:val="37DD4D3F"/>
    <w:multiLevelType w:val="hybridMultilevel"/>
    <w:tmpl w:val="839A1C5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3F601889"/>
    <w:multiLevelType w:val="hybridMultilevel"/>
    <w:tmpl w:val="AC3269B4"/>
    <w:lvl w:ilvl="0" w:tplc="9B6C0798">
      <w:start w:val="1"/>
      <w:numFmt w:val="lowerLetter"/>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6">
    <w:nsid w:val="47955F8F"/>
    <w:multiLevelType w:val="hybridMultilevel"/>
    <w:tmpl w:val="8F927D1E"/>
    <w:lvl w:ilvl="0" w:tplc="8AC8A2A8">
      <w:start w:val="1"/>
      <w:numFmt w:val="decimal"/>
      <w:lvlText w:val="%1."/>
      <w:lvlJc w:val="left"/>
      <w:pPr>
        <w:ind w:left="107" w:hanging="432"/>
      </w:pPr>
      <w:rPr>
        <w:rFonts w:ascii="PMingLiU" w:eastAsia="PMingLiU" w:hAnsi="PMingLiU" w:cs="PMingLiU" w:hint="eastAsia"/>
        <w:w w:val="107"/>
        <w:sz w:val="19"/>
        <w:szCs w:val="19"/>
        <w:lang w:val="en-US" w:eastAsia="en-US" w:bidi="en-US"/>
      </w:rPr>
    </w:lvl>
    <w:lvl w:ilvl="1" w:tplc="B1189072">
      <w:numFmt w:val="bullet"/>
      <w:lvlText w:val="•"/>
      <w:lvlJc w:val="left"/>
      <w:pPr>
        <w:ind w:left="1034" w:hanging="432"/>
      </w:pPr>
      <w:rPr>
        <w:lang w:val="en-US" w:eastAsia="en-US" w:bidi="en-US"/>
      </w:rPr>
    </w:lvl>
    <w:lvl w:ilvl="2" w:tplc="FE88586E">
      <w:numFmt w:val="bullet"/>
      <w:lvlText w:val="•"/>
      <w:lvlJc w:val="left"/>
      <w:pPr>
        <w:ind w:left="1969" w:hanging="432"/>
      </w:pPr>
      <w:rPr>
        <w:lang w:val="en-US" w:eastAsia="en-US" w:bidi="en-US"/>
      </w:rPr>
    </w:lvl>
    <w:lvl w:ilvl="3" w:tplc="D6C859DA">
      <w:numFmt w:val="bullet"/>
      <w:lvlText w:val="•"/>
      <w:lvlJc w:val="left"/>
      <w:pPr>
        <w:ind w:left="2903" w:hanging="432"/>
      </w:pPr>
      <w:rPr>
        <w:lang w:val="en-US" w:eastAsia="en-US" w:bidi="en-US"/>
      </w:rPr>
    </w:lvl>
    <w:lvl w:ilvl="4" w:tplc="87BA75AC">
      <w:numFmt w:val="bullet"/>
      <w:lvlText w:val="•"/>
      <w:lvlJc w:val="left"/>
      <w:pPr>
        <w:ind w:left="3838" w:hanging="432"/>
      </w:pPr>
      <w:rPr>
        <w:lang w:val="en-US" w:eastAsia="en-US" w:bidi="en-US"/>
      </w:rPr>
    </w:lvl>
    <w:lvl w:ilvl="5" w:tplc="AF90BFF4">
      <w:numFmt w:val="bullet"/>
      <w:lvlText w:val="•"/>
      <w:lvlJc w:val="left"/>
      <w:pPr>
        <w:ind w:left="4772" w:hanging="432"/>
      </w:pPr>
      <w:rPr>
        <w:lang w:val="en-US" w:eastAsia="en-US" w:bidi="en-US"/>
      </w:rPr>
    </w:lvl>
    <w:lvl w:ilvl="6" w:tplc="72EEB314">
      <w:numFmt w:val="bullet"/>
      <w:lvlText w:val="•"/>
      <w:lvlJc w:val="left"/>
      <w:pPr>
        <w:ind w:left="5707" w:hanging="432"/>
      </w:pPr>
      <w:rPr>
        <w:lang w:val="en-US" w:eastAsia="en-US" w:bidi="en-US"/>
      </w:rPr>
    </w:lvl>
    <w:lvl w:ilvl="7" w:tplc="B9FCA54C">
      <w:numFmt w:val="bullet"/>
      <w:lvlText w:val="•"/>
      <w:lvlJc w:val="left"/>
      <w:pPr>
        <w:ind w:left="6641" w:hanging="432"/>
      </w:pPr>
      <w:rPr>
        <w:lang w:val="en-US" w:eastAsia="en-US" w:bidi="en-US"/>
      </w:rPr>
    </w:lvl>
    <w:lvl w:ilvl="8" w:tplc="D0E8E7CE">
      <w:numFmt w:val="bullet"/>
      <w:lvlText w:val="•"/>
      <w:lvlJc w:val="left"/>
      <w:pPr>
        <w:ind w:left="7576" w:hanging="432"/>
      </w:pPr>
      <w:rPr>
        <w:lang w:val="en-US" w:eastAsia="en-US" w:bidi="en-US"/>
      </w:rPr>
    </w:lvl>
  </w:abstractNum>
  <w:abstractNum w:abstractNumId="7">
    <w:nsid w:val="6C247246"/>
    <w:multiLevelType w:val="hybridMultilevel"/>
    <w:tmpl w:val="4E3CE578"/>
    <w:lvl w:ilvl="0" w:tplc="BE380CD4">
      <w:start w:val="1"/>
      <w:numFmt w:val="lowerLetter"/>
      <w:lvlText w:val="(%1)"/>
      <w:lvlJc w:val="left"/>
      <w:pPr>
        <w:ind w:left="401" w:hanging="295"/>
      </w:pPr>
      <w:rPr>
        <w:rFonts w:ascii="PMingLiU" w:eastAsia="PMingLiU" w:hAnsi="PMingLiU" w:cs="PMingLiU" w:hint="eastAsia"/>
        <w:w w:val="91"/>
        <w:sz w:val="19"/>
        <w:szCs w:val="19"/>
        <w:lang w:val="en-US" w:eastAsia="en-US" w:bidi="en-US"/>
      </w:rPr>
    </w:lvl>
    <w:lvl w:ilvl="1" w:tplc="A4F264A0">
      <w:numFmt w:val="bullet"/>
      <w:lvlText w:val="•"/>
      <w:lvlJc w:val="left"/>
      <w:pPr>
        <w:ind w:left="1304" w:hanging="295"/>
      </w:pPr>
      <w:rPr>
        <w:lang w:val="en-US" w:eastAsia="en-US" w:bidi="en-US"/>
      </w:rPr>
    </w:lvl>
    <w:lvl w:ilvl="2" w:tplc="CB1EDE2C">
      <w:numFmt w:val="bullet"/>
      <w:lvlText w:val="•"/>
      <w:lvlJc w:val="left"/>
      <w:pPr>
        <w:ind w:left="2209" w:hanging="295"/>
      </w:pPr>
      <w:rPr>
        <w:lang w:val="en-US" w:eastAsia="en-US" w:bidi="en-US"/>
      </w:rPr>
    </w:lvl>
    <w:lvl w:ilvl="3" w:tplc="BA8056AE">
      <w:numFmt w:val="bullet"/>
      <w:lvlText w:val="•"/>
      <w:lvlJc w:val="left"/>
      <w:pPr>
        <w:ind w:left="3113" w:hanging="295"/>
      </w:pPr>
      <w:rPr>
        <w:lang w:val="en-US" w:eastAsia="en-US" w:bidi="en-US"/>
      </w:rPr>
    </w:lvl>
    <w:lvl w:ilvl="4" w:tplc="E1EE0010">
      <w:numFmt w:val="bullet"/>
      <w:lvlText w:val="•"/>
      <w:lvlJc w:val="left"/>
      <w:pPr>
        <w:ind w:left="4018" w:hanging="295"/>
      </w:pPr>
      <w:rPr>
        <w:lang w:val="en-US" w:eastAsia="en-US" w:bidi="en-US"/>
      </w:rPr>
    </w:lvl>
    <w:lvl w:ilvl="5" w:tplc="AB6E50CC">
      <w:numFmt w:val="bullet"/>
      <w:lvlText w:val="•"/>
      <w:lvlJc w:val="left"/>
      <w:pPr>
        <w:ind w:left="4922" w:hanging="295"/>
      </w:pPr>
      <w:rPr>
        <w:lang w:val="en-US" w:eastAsia="en-US" w:bidi="en-US"/>
      </w:rPr>
    </w:lvl>
    <w:lvl w:ilvl="6" w:tplc="3168C018">
      <w:numFmt w:val="bullet"/>
      <w:lvlText w:val="•"/>
      <w:lvlJc w:val="left"/>
      <w:pPr>
        <w:ind w:left="5827" w:hanging="295"/>
      </w:pPr>
      <w:rPr>
        <w:lang w:val="en-US" w:eastAsia="en-US" w:bidi="en-US"/>
      </w:rPr>
    </w:lvl>
    <w:lvl w:ilvl="7" w:tplc="F1F27920">
      <w:numFmt w:val="bullet"/>
      <w:lvlText w:val="•"/>
      <w:lvlJc w:val="left"/>
      <w:pPr>
        <w:ind w:left="6731" w:hanging="295"/>
      </w:pPr>
      <w:rPr>
        <w:lang w:val="en-US" w:eastAsia="en-US" w:bidi="en-US"/>
      </w:rPr>
    </w:lvl>
    <w:lvl w:ilvl="8" w:tplc="261665FE">
      <w:numFmt w:val="bullet"/>
      <w:lvlText w:val="•"/>
      <w:lvlJc w:val="left"/>
      <w:pPr>
        <w:ind w:left="7636" w:hanging="295"/>
      </w:pPr>
      <w:rPr>
        <w:lang w:val="en-US" w:eastAsia="en-US" w:bidi="en-US"/>
      </w:rPr>
    </w:lvl>
  </w:abstractNum>
  <w:num w:numId="1">
    <w:abstractNumId w:val="1"/>
  </w:num>
  <w:num w:numId="2">
    <w:abstractNumId w:val="1"/>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6"/>
  </w:num>
  <w:num w:numId="5">
    <w:abstractNumId w:val="3"/>
    <w:lvlOverride w:ilvl="0">
      <w:startOverride w:val="59"/>
    </w:lvlOverride>
    <w:lvlOverride w:ilvl="1"/>
    <w:lvlOverride w:ilvl="2"/>
    <w:lvlOverride w:ilvl="3"/>
    <w:lvlOverride w:ilvl="4"/>
    <w:lvlOverride w:ilvl="5"/>
    <w:lvlOverride w:ilvl="6"/>
    <w:lvlOverride w:ilvl="7"/>
    <w:lvlOverride w:ilvl="8"/>
  </w:num>
  <w:num w:numId="6">
    <w:abstractNumId w:val="3"/>
  </w:num>
  <w:num w:numId="7">
    <w:abstractNumId w:val="2"/>
  </w:num>
  <w:num w:numId="8">
    <w:abstractNumId w:val="5"/>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7"/>
  </w:num>
  <w:num w:numId="11">
    <w:abstractNumId w:val="0"/>
    <w:lvlOverride w:ilvl="0">
      <w:startOverride w:val="67"/>
    </w:lvlOverride>
    <w:lvlOverride w:ilvl="1"/>
    <w:lvlOverride w:ilvl="2"/>
    <w:lvlOverride w:ilvl="3"/>
    <w:lvlOverride w:ilvl="4"/>
    <w:lvlOverride w:ilvl="5"/>
    <w:lvlOverride w:ilvl="6"/>
    <w:lvlOverride w:ilvl="7"/>
    <w:lvlOverride w:ilvl="8"/>
  </w:num>
  <w:num w:numId="12">
    <w:abstractNumId w:val="0"/>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ed Shapiro">
    <w15:presenceInfo w15:providerId="AD" w15:userId="S::Ted.Shapiro@wiggin.co.uk::b47378e8-85fa-4548-96b9-4817ca93cd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trackRevisio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C6A"/>
    <w:rsid w:val="00006127"/>
    <w:rsid w:val="00006785"/>
    <w:rsid w:val="00020EAF"/>
    <w:rsid w:val="00021E03"/>
    <w:rsid w:val="00023181"/>
    <w:rsid w:val="0002332D"/>
    <w:rsid w:val="00024BDD"/>
    <w:rsid w:val="00031D32"/>
    <w:rsid w:val="0003273D"/>
    <w:rsid w:val="00037926"/>
    <w:rsid w:val="000442F4"/>
    <w:rsid w:val="0004434A"/>
    <w:rsid w:val="00045AC6"/>
    <w:rsid w:val="000463D9"/>
    <w:rsid w:val="0005229D"/>
    <w:rsid w:val="0005756C"/>
    <w:rsid w:val="00065D23"/>
    <w:rsid w:val="00066F5D"/>
    <w:rsid w:val="000904D2"/>
    <w:rsid w:val="00093300"/>
    <w:rsid w:val="000971D0"/>
    <w:rsid w:val="000A1845"/>
    <w:rsid w:val="000B174F"/>
    <w:rsid w:val="000B2C6A"/>
    <w:rsid w:val="000B600B"/>
    <w:rsid w:val="000D112C"/>
    <w:rsid w:val="000D18B9"/>
    <w:rsid w:val="000E5304"/>
    <w:rsid w:val="000F01B6"/>
    <w:rsid w:val="000F0875"/>
    <w:rsid w:val="000F25CD"/>
    <w:rsid w:val="000F3EF5"/>
    <w:rsid w:val="0010618A"/>
    <w:rsid w:val="00106FF3"/>
    <w:rsid w:val="0011113D"/>
    <w:rsid w:val="00117DA4"/>
    <w:rsid w:val="00120AD8"/>
    <w:rsid w:val="00121123"/>
    <w:rsid w:val="001357FA"/>
    <w:rsid w:val="00136B6D"/>
    <w:rsid w:val="00152379"/>
    <w:rsid w:val="00155EBB"/>
    <w:rsid w:val="00156BE6"/>
    <w:rsid w:val="00160141"/>
    <w:rsid w:val="0016556E"/>
    <w:rsid w:val="001748C1"/>
    <w:rsid w:val="001751E8"/>
    <w:rsid w:val="0018129B"/>
    <w:rsid w:val="00183308"/>
    <w:rsid w:val="00184294"/>
    <w:rsid w:val="0018706B"/>
    <w:rsid w:val="001A1EDD"/>
    <w:rsid w:val="001A22D4"/>
    <w:rsid w:val="001B27AE"/>
    <w:rsid w:val="001B7E8C"/>
    <w:rsid w:val="001C1DBA"/>
    <w:rsid w:val="001C31D5"/>
    <w:rsid w:val="001C3A84"/>
    <w:rsid w:val="001D5EF6"/>
    <w:rsid w:val="001D606B"/>
    <w:rsid w:val="001D61F5"/>
    <w:rsid w:val="001E06E3"/>
    <w:rsid w:val="001E3F1D"/>
    <w:rsid w:val="001F524F"/>
    <w:rsid w:val="002008AD"/>
    <w:rsid w:val="0020207E"/>
    <w:rsid w:val="00206A81"/>
    <w:rsid w:val="002121D3"/>
    <w:rsid w:val="0021564E"/>
    <w:rsid w:val="00216B11"/>
    <w:rsid w:val="00221099"/>
    <w:rsid w:val="00227934"/>
    <w:rsid w:val="00234F86"/>
    <w:rsid w:val="00237FCB"/>
    <w:rsid w:val="00240790"/>
    <w:rsid w:val="002407D7"/>
    <w:rsid w:val="0024294F"/>
    <w:rsid w:val="002536EE"/>
    <w:rsid w:val="002617F8"/>
    <w:rsid w:val="00262F37"/>
    <w:rsid w:val="002646AC"/>
    <w:rsid w:val="00271749"/>
    <w:rsid w:val="00280C9A"/>
    <w:rsid w:val="00283BD7"/>
    <w:rsid w:val="00283C2E"/>
    <w:rsid w:val="00286507"/>
    <w:rsid w:val="0029167B"/>
    <w:rsid w:val="00296E3B"/>
    <w:rsid w:val="002A076B"/>
    <w:rsid w:val="002A160F"/>
    <w:rsid w:val="002A26B7"/>
    <w:rsid w:val="002B0180"/>
    <w:rsid w:val="002B2360"/>
    <w:rsid w:val="002B7438"/>
    <w:rsid w:val="002C567F"/>
    <w:rsid w:val="002D11D5"/>
    <w:rsid w:val="002D40B3"/>
    <w:rsid w:val="002D5DF2"/>
    <w:rsid w:val="002E1F8B"/>
    <w:rsid w:val="002E7D3D"/>
    <w:rsid w:val="00300E0A"/>
    <w:rsid w:val="003055E1"/>
    <w:rsid w:val="00311A9E"/>
    <w:rsid w:val="00316BA9"/>
    <w:rsid w:val="0031701A"/>
    <w:rsid w:val="00325B90"/>
    <w:rsid w:val="00337820"/>
    <w:rsid w:val="00343196"/>
    <w:rsid w:val="00347626"/>
    <w:rsid w:val="003509ED"/>
    <w:rsid w:val="003525A6"/>
    <w:rsid w:val="00370418"/>
    <w:rsid w:val="00370BFA"/>
    <w:rsid w:val="00371DA0"/>
    <w:rsid w:val="00372122"/>
    <w:rsid w:val="00375596"/>
    <w:rsid w:val="00383012"/>
    <w:rsid w:val="0038530E"/>
    <w:rsid w:val="00385381"/>
    <w:rsid w:val="00387F07"/>
    <w:rsid w:val="00392572"/>
    <w:rsid w:val="003969C6"/>
    <w:rsid w:val="003A4A56"/>
    <w:rsid w:val="003A5C22"/>
    <w:rsid w:val="003A71C4"/>
    <w:rsid w:val="003C37F1"/>
    <w:rsid w:val="003C6332"/>
    <w:rsid w:val="003D0E09"/>
    <w:rsid w:val="003D2832"/>
    <w:rsid w:val="003E13AB"/>
    <w:rsid w:val="003E334C"/>
    <w:rsid w:val="003E697C"/>
    <w:rsid w:val="003E6CD0"/>
    <w:rsid w:val="003F076E"/>
    <w:rsid w:val="003F76C6"/>
    <w:rsid w:val="0041155A"/>
    <w:rsid w:val="00420C48"/>
    <w:rsid w:val="004217A8"/>
    <w:rsid w:val="004225AF"/>
    <w:rsid w:val="00423DE0"/>
    <w:rsid w:val="0042459A"/>
    <w:rsid w:val="0042575D"/>
    <w:rsid w:val="00430BA2"/>
    <w:rsid w:val="004360CF"/>
    <w:rsid w:val="00443952"/>
    <w:rsid w:val="00447010"/>
    <w:rsid w:val="0045297A"/>
    <w:rsid w:val="004533AA"/>
    <w:rsid w:val="00453A9B"/>
    <w:rsid w:val="00453FF5"/>
    <w:rsid w:val="004559CC"/>
    <w:rsid w:val="00463190"/>
    <w:rsid w:val="00473AB6"/>
    <w:rsid w:val="004743D0"/>
    <w:rsid w:val="0047598D"/>
    <w:rsid w:val="00475C2D"/>
    <w:rsid w:val="004807F8"/>
    <w:rsid w:val="00480DBB"/>
    <w:rsid w:val="0048118B"/>
    <w:rsid w:val="00481A6C"/>
    <w:rsid w:val="00481C19"/>
    <w:rsid w:val="004827A2"/>
    <w:rsid w:val="00482D1D"/>
    <w:rsid w:val="0048611E"/>
    <w:rsid w:val="00494803"/>
    <w:rsid w:val="004957E9"/>
    <w:rsid w:val="00497B03"/>
    <w:rsid w:val="004B3A4D"/>
    <w:rsid w:val="004B636B"/>
    <w:rsid w:val="004B63E9"/>
    <w:rsid w:val="004C4D49"/>
    <w:rsid w:val="004D2FED"/>
    <w:rsid w:val="004E145E"/>
    <w:rsid w:val="004E34E7"/>
    <w:rsid w:val="00510C56"/>
    <w:rsid w:val="0051365B"/>
    <w:rsid w:val="005145A5"/>
    <w:rsid w:val="005176B5"/>
    <w:rsid w:val="00523AF3"/>
    <w:rsid w:val="00524C04"/>
    <w:rsid w:val="00530606"/>
    <w:rsid w:val="00542B57"/>
    <w:rsid w:val="00544DB9"/>
    <w:rsid w:val="00553FF8"/>
    <w:rsid w:val="005620BE"/>
    <w:rsid w:val="00567B65"/>
    <w:rsid w:val="005705EF"/>
    <w:rsid w:val="005718F0"/>
    <w:rsid w:val="005740A5"/>
    <w:rsid w:val="005A310D"/>
    <w:rsid w:val="005A3952"/>
    <w:rsid w:val="005A67A3"/>
    <w:rsid w:val="005B17A1"/>
    <w:rsid w:val="005E2044"/>
    <w:rsid w:val="005E63E4"/>
    <w:rsid w:val="005F369D"/>
    <w:rsid w:val="005F4732"/>
    <w:rsid w:val="005F7AC9"/>
    <w:rsid w:val="00601E7C"/>
    <w:rsid w:val="00603838"/>
    <w:rsid w:val="00607AE8"/>
    <w:rsid w:val="00613FCB"/>
    <w:rsid w:val="00617DFD"/>
    <w:rsid w:val="00626285"/>
    <w:rsid w:val="006355B6"/>
    <w:rsid w:val="00640621"/>
    <w:rsid w:val="00643CBE"/>
    <w:rsid w:val="00647F0A"/>
    <w:rsid w:val="00653E8E"/>
    <w:rsid w:val="00664ACF"/>
    <w:rsid w:val="006732B0"/>
    <w:rsid w:val="0067421E"/>
    <w:rsid w:val="00680CC3"/>
    <w:rsid w:val="006845E1"/>
    <w:rsid w:val="006864D1"/>
    <w:rsid w:val="006907BF"/>
    <w:rsid w:val="00691E0B"/>
    <w:rsid w:val="006A329D"/>
    <w:rsid w:val="006A6451"/>
    <w:rsid w:val="006A78F2"/>
    <w:rsid w:val="006B13BD"/>
    <w:rsid w:val="006B41FA"/>
    <w:rsid w:val="006B7E63"/>
    <w:rsid w:val="006C136F"/>
    <w:rsid w:val="006C3F4C"/>
    <w:rsid w:val="006C4D2C"/>
    <w:rsid w:val="006D2D2A"/>
    <w:rsid w:val="006D32DF"/>
    <w:rsid w:val="006D3D15"/>
    <w:rsid w:val="006D4994"/>
    <w:rsid w:val="006D53D7"/>
    <w:rsid w:val="006D6F74"/>
    <w:rsid w:val="006E313F"/>
    <w:rsid w:val="006E435E"/>
    <w:rsid w:val="006E5144"/>
    <w:rsid w:val="006E6489"/>
    <w:rsid w:val="006F4920"/>
    <w:rsid w:val="00703A44"/>
    <w:rsid w:val="00704B89"/>
    <w:rsid w:val="00705466"/>
    <w:rsid w:val="007056EC"/>
    <w:rsid w:val="007105B5"/>
    <w:rsid w:val="00715781"/>
    <w:rsid w:val="007204E1"/>
    <w:rsid w:val="00731C7A"/>
    <w:rsid w:val="00732A59"/>
    <w:rsid w:val="00735EA8"/>
    <w:rsid w:val="0075636F"/>
    <w:rsid w:val="0076032D"/>
    <w:rsid w:val="00761B81"/>
    <w:rsid w:val="00765EBF"/>
    <w:rsid w:val="0077144B"/>
    <w:rsid w:val="0077390D"/>
    <w:rsid w:val="00776C3B"/>
    <w:rsid w:val="0078581D"/>
    <w:rsid w:val="00787541"/>
    <w:rsid w:val="00790446"/>
    <w:rsid w:val="007932F4"/>
    <w:rsid w:val="007948BB"/>
    <w:rsid w:val="007A031A"/>
    <w:rsid w:val="007A1C3F"/>
    <w:rsid w:val="007A55D1"/>
    <w:rsid w:val="007B42A6"/>
    <w:rsid w:val="007C2001"/>
    <w:rsid w:val="007C5268"/>
    <w:rsid w:val="007C5463"/>
    <w:rsid w:val="007D1B3D"/>
    <w:rsid w:val="007E034D"/>
    <w:rsid w:val="007E30E4"/>
    <w:rsid w:val="007E5743"/>
    <w:rsid w:val="007F62D5"/>
    <w:rsid w:val="007F7F5E"/>
    <w:rsid w:val="00804958"/>
    <w:rsid w:val="0080692F"/>
    <w:rsid w:val="00806998"/>
    <w:rsid w:val="00806EDC"/>
    <w:rsid w:val="0081679C"/>
    <w:rsid w:val="0082675B"/>
    <w:rsid w:val="00834551"/>
    <w:rsid w:val="00844038"/>
    <w:rsid w:val="00846E3B"/>
    <w:rsid w:val="00854EBC"/>
    <w:rsid w:val="008550BB"/>
    <w:rsid w:val="00861EB9"/>
    <w:rsid w:val="00863788"/>
    <w:rsid w:val="00864A59"/>
    <w:rsid w:val="00871DD4"/>
    <w:rsid w:val="00877B8F"/>
    <w:rsid w:val="0088054B"/>
    <w:rsid w:val="008937D5"/>
    <w:rsid w:val="008A5917"/>
    <w:rsid w:val="008A6504"/>
    <w:rsid w:val="008B1509"/>
    <w:rsid w:val="008B2AC1"/>
    <w:rsid w:val="008B48EC"/>
    <w:rsid w:val="008B6531"/>
    <w:rsid w:val="008C4919"/>
    <w:rsid w:val="008E5113"/>
    <w:rsid w:val="008F4C59"/>
    <w:rsid w:val="00900C6E"/>
    <w:rsid w:val="0090660F"/>
    <w:rsid w:val="0092145D"/>
    <w:rsid w:val="00922CA7"/>
    <w:rsid w:val="00926F5B"/>
    <w:rsid w:val="009350B9"/>
    <w:rsid w:val="00943A46"/>
    <w:rsid w:val="009509C1"/>
    <w:rsid w:val="00954195"/>
    <w:rsid w:val="009600E7"/>
    <w:rsid w:val="0096052C"/>
    <w:rsid w:val="00960A57"/>
    <w:rsid w:val="009629CE"/>
    <w:rsid w:val="00966E3C"/>
    <w:rsid w:val="00971E7C"/>
    <w:rsid w:val="0097371E"/>
    <w:rsid w:val="00980F86"/>
    <w:rsid w:val="009868DF"/>
    <w:rsid w:val="00993F4B"/>
    <w:rsid w:val="00995285"/>
    <w:rsid w:val="00995C72"/>
    <w:rsid w:val="00997B35"/>
    <w:rsid w:val="009A123F"/>
    <w:rsid w:val="009A5014"/>
    <w:rsid w:val="009A5A6B"/>
    <w:rsid w:val="009A6842"/>
    <w:rsid w:val="009B1083"/>
    <w:rsid w:val="009B3DC5"/>
    <w:rsid w:val="009B3F83"/>
    <w:rsid w:val="009C3CBA"/>
    <w:rsid w:val="009C48E1"/>
    <w:rsid w:val="009C5401"/>
    <w:rsid w:val="009C782C"/>
    <w:rsid w:val="009D24B4"/>
    <w:rsid w:val="009E5317"/>
    <w:rsid w:val="00A04152"/>
    <w:rsid w:val="00A0454F"/>
    <w:rsid w:val="00A05B62"/>
    <w:rsid w:val="00A120C2"/>
    <w:rsid w:val="00A130AB"/>
    <w:rsid w:val="00A13943"/>
    <w:rsid w:val="00A20A3B"/>
    <w:rsid w:val="00A22396"/>
    <w:rsid w:val="00A240B5"/>
    <w:rsid w:val="00A246AF"/>
    <w:rsid w:val="00A25D7C"/>
    <w:rsid w:val="00A37880"/>
    <w:rsid w:val="00A45204"/>
    <w:rsid w:val="00A46356"/>
    <w:rsid w:val="00A46F03"/>
    <w:rsid w:val="00A47ADE"/>
    <w:rsid w:val="00A50A8A"/>
    <w:rsid w:val="00A5420F"/>
    <w:rsid w:val="00A54F18"/>
    <w:rsid w:val="00A670B9"/>
    <w:rsid w:val="00A723FC"/>
    <w:rsid w:val="00A7581D"/>
    <w:rsid w:val="00A77EEB"/>
    <w:rsid w:val="00A8306E"/>
    <w:rsid w:val="00A83FFD"/>
    <w:rsid w:val="00A90010"/>
    <w:rsid w:val="00AA1EFD"/>
    <w:rsid w:val="00AA2B99"/>
    <w:rsid w:val="00AA3A7C"/>
    <w:rsid w:val="00AA3D97"/>
    <w:rsid w:val="00AB22DC"/>
    <w:rsid w:val="00AB6A97"/>
    <w:rsid w:val="00AC1EC6"/>
    <w:rsid w:val="00AC79D4"/>
    <w:rsid w:val="00AD70A4"/>
    <w:rsid w:val="00AE03DF"/>
    <w:rsid w:val="00AE5AF0"/>
    <w:rsid w:val="00AF2124"/>
    <w:rsid w:val="00AF3B48"/>
    <w:rsid w:val="00AF665C"/>
    <w:rsid w:val="00B01003"/>
    <w:rsid w:val="00B04B58"/>
    <w:rsid w:val="00B07CAC"/>
    <w:rsid w:val="00B11AFC"/>
    <w:rsid w:val="00B12FE0"/>
    <w:rsid w:val="00B201A5"/>
    <w:rsid w:val="00B250CD"/>
    <w:rsid w:val="00B2737A"/>
    <w:rsid w:val="00B27571"/>
    <w:rsid w:val="00B32605"/>
    <w:rsid w:val="00B32D18"/>
    <w:rsid w:val="00B338FC"/>
    <w:rsid w:val="00B34A74"/>
    <w:rsid w:val="00B367CE"/>
    <w:rsid w:val="00B45ECC"/>
    <w:rsid w:val="00B54DD7"/>
    <w:rsid w:val="00B56FE3"/>
    <w:rsid w:val="00B7725E"/>
    <w:rsid w:val="00B8164A"/>
    <w:rsid w:val="00B86B3B"/>
    <w:rsid w:val="00B910BB"/>
    <w:rsid w:val="00B92C88"/>
    <w:rsid w:val="00B9418B"/>
    <w:rsid w:val="00BA7231"/>
    <w:rsid w:val="00BA7790"/>
    <w:rsid w:val="00BB4ACA"/>
    <w:rsid w:val="00BB50FE"/>
    <w:rsid w:val="00BB76AA"/>
    <w:rsid w:val="00BC659F"/>
    <w:rsid w:val="00BD4870"/>
    <w:rsid w:val="00BD4ADA"/>
    <w:rsid w:val="00BE0C53"/>
    <w:rsid w:val="00BE1D5E"/>
    <w:rsid w:val="00BE5CA5"/>
    <w:rsid w:val="00BF7D1D"/>
    <w:rsid w:val="00C020A0"/>
    <w:rsid w:val="00C03E77"/>
    <w:rsid w:val="00C07021"/>
    <w:rsid w:val="00C075BE"/>
    <w:rsid w:val="00C07B2C"/>
    <w:rsid w:val="00C1164B"/>
    <w:rsid w:val="00C12872"/>
    <w:rsid w:val="00C17EF7"/>
    <w:rsid w:val="00C3379D"/>
    <w:rsid w:val="00C34D36"/>
    <w:rsid w:val="00C44D92"/>
    <w:rsid w:val="00C463EE"/>
    <w:rsid w:val="00C53154"/>
    <w:rsid w:val="00C56DD0"/>
    <w:rsid w:val="00C67C0C"/>
    <w:rsid w:val="00C70436"/>
    <w:rsid w:val="00C763D7"/>
    <w:rsid w:val="00C81F1D"/>
    <w:rsid w:val="00C854BB"/>
    <w:rsid w:val="00C90AA2"/>
    <w:rsid w:val="00C93B48"/>
    <w:rsid w:val="00C95CDC"/>
    <w:rsid w:val="00CA2E65"/>
    <w:rsid w:val="00CA3552"/>
    <w:rsid w:val="00CB5BE3"/>
    <w:rsid w:val="00CB6569"/>
    <w:rsid w:val="00CC2742"/>
    <w:rsid w:val="00CC5425"/>
    <w:rsid w:val="00CC724F"/>
    <w:rsid w:val="00CC7BBD"/>
    <w:rsid w:val="00CD436F"/>
    <w:rsid w:val="00CD5ECF"/>
    <w:rsid w:val="00CE3BC1"/>
    <w:rsid w:val="00CE4A6D"/>
    <w:rsid w:val="00CF2F0B"/>
    <w:rsid w:val="00CF3C25"/>
    <w:rsid w:val="00CF7400"/>
    <w:rsid w:val="00CF7BB2"/>
    <w:rsid w:val="00D05B41"/>
    <w:rsid w:val="00D079D1"/>
    <w:rsid w:val="00D12061"/>
    <w:rsid w:val="00D14810"/>
    <w:rsid w:val="00D2135F"/>
    <w:rsid w:val="00D2229F"/>
    <w:rsid w:val="00D32F28"/>
    <w:rsid w:val="00D44180"/>
    <w:rsid w:val="00D479E9"/>
    <w:rsid w:val="00D47C68"/>
    <w:rsid w:val="00D5670A"/>
    <w:rsid w:val="00D65F62"/>
    <w:rsid w:val="00D663C1"/>
    <w:rsid w:val="00D72AD0"/>
    <w:rsid w:val="00D849E8"/>
    <w:rsid w:val="00D86246"/>
    <w:rsid w:val="00D87B3A"/>
    <w:rsid w:val="00D92BDC"/>
    <w:rsid w:val="00D92F24"/>
    <w:rsid w:val="00D955EE"/>
    <w:rsid w:val="00D95666"/>
    <w:rsid w:val="00DA6433"/>
    <w:rsid w:val="00DB46BB"/>
    <w:rsid w:val="00DC0E52"/>
    <w:rsid w:val="00DC193D"/>
    <w:rsid w:val="00DF0941"/>
    <w:rsid w:val="00DF0D14"/>
    <w:rsid w:val="00DF40CA"/>
    <w:rsid w:val="00DF426F"/>
    <w:rsid w:val="00DF603A"/>
    <w:rsid w:val="00E01B98"/>
    <w:rsid w:val="00E051C8"/>
    <w:rsid w:val="00E10E88"/>
    <w:rsid w:val="00E1516F"/>
    <w:rsid w:val="00E17222"/>
    <w:rsid w:val="00E17E28"/>
    <w:rsid w:val="00E20668"/>
    <w:rsid w:val="00E2218B"/>
    <w:rsid w:val="00E244C4"/>
    <w:rsid w:val="00E26037"/>
    <w:rsid w:val="00E34B44"/>
    <w:rsid w:val="00E41038"/>
    <w:rsid w:val="00E420D0"/>
    <w:rsid w:val="00E4343E"/>
    <w:rsid w:val="00E50476"/>
    <w:rsid w:val="00E50D30"/>
    <w:rsid w:val="00E524C8"/>
    <w:rsid w:val="00E61CB5"/>
    <w:rsid w:val="00E62FA1"/>
    <w:rsid w:val="00E640F2"/>
    <w:rsid w:val="00E66516"/>
    <w:rsid w:val="00E8054B"/>
    <w:rsid w:val="00E80815"/>
    <w:rsid w:val="00E828D4"/>
    <w:rsid w:val="00E828EC"/>
    <w:rsid w:val="00E83AAA"/>
    <w:rsid w:val="00E96841"/>
    <w:rsid w:val="00E96D1A"/>
    <w:rsid w:val="00EA5A39"/>
    <w:rsid w:val="00EA7E25"/>
    <w:rsid w:val="00EC4F56"/>
    <w:rsid w:val="00EC586F"/>
    <w:rsid w:val="00EC63AC"/>
    <w:rsid w:val="00ED1FE8"/>
    <w:rsid w:val="00ED34C8"/>
    <w:rsid w:val="00ED6E02"/>
    <w:rsid w:val="00EF038A"/>
    <w:rsid w:val="00EF0E5B"/>
    <w:rsid w:val="00EF16E6"/>
    <w:rsid w:val="00EF248E"/>
    <w:rsid w:val="00EF5B12"/>
    <w:rsid w:val="00F0181A"/>
    <w:rsid w:val="00F0301A"/>
    <w:rsid w:val="00F11765"/>
    <w:rsid w:val="00F15C6B"/>
    <w:rsid w:val="00F37B23"/>
    <w:rsid w:val="00F40862"/>
    <w:rsid w:val="00F46359"/>
    <w:rsid w:val="00F523C3"/>
    <w:rsid w:val="00F538B5"/>
    <w:rsid w:val="00F53FFA"/>
    <w:rsid w:val="00F5427D"/>
    <w:rsid w:val="00F73910"/>
    <w:rsid w:val="00F7454A"/>
    <w:rsid w:val="00F76EDC"/>
    <w:rsid w:val="00F80231"/>
    <w:rsid w:val="00F81F9E"/>
    <w:rsid w:val="00F91CBC"/>
    <w:rsid w:val="00F950F8"/>
    <w:rsid w:val="00FA0EA2"/>
    <w:rsid w:val="00FA14AA"/>
    <w:rsid w:val="00FA6B61"/>
    <w:rsid w:val="00FB0AA0"/>
    <w:rsid w:val="00FB1B35"/>
    <w:rsid w:val="00FB2C77"/>
    <w:rsid w:val="00FB5932"/>
    <w:rsid w:val="00FB726A"/>
    <w:rsid w:val="00FC3C49"/>
    <w:rsid w:val="00FC5121"/>
    <w:rsid w:val="00FC6B8B"/>
    <w:rsid w:val="00FD512D"/>
    <w:rsid w:val="00FE4A78"/>
    <w:rsid w:val="00FE5725"/>
    <w:rsid w:val="00FF3928"/>
    <w:rsid w:val="00FF46E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7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73910"/>
    <w:pPr>
      <w:spacing w:after="0" w:line="240" w:lineRule="auto"/>
    </w:pPr>
    <w:rPr>
      <w:rFonts w:ascii="Calibri" w:hAnsi="Calibri" w:cs="Calibri"/>
    </w:rPr>
  </w:style>
  <w:style w:type="paragraph" w:styleId="Cmsor1">
    <w:name w:val="heading 1"/>
    <w:basedOn w:val="Norml"/>
    <w:link w:val="Cmsor1Char"/>
    <w:uiPriority w:val="9"/>
    <w:qFormat/>
    <w:rsid w:val="00F73910"/>
    <w:pPr>
      <w:widowControl w:val="0"/>
      <w:spacing w:before="4"/>
      <w:ind w:left="197"/>
      <w:outlineLvl w:val="0"/>
    </w:pPr>
    <w:rPr>
      <w:rFonts w:ascii="Times New Roman" w:eastAsia="Times New Roman" w:hAnsi="Times New Roman" w:cstheme="minorBidi"/>
      <w:sz w:val="26"/>
      <w:szCs w:val="26"/>
      <w:lang w:val="en-US"/>
    </w:rPr>
  </w:style>
  <w:style w:type="paragraph" w:styleId="Cmsor2">
    <w:name w:val="heading 2"/>
    <w:basedOn w:val="Norml"/>
    <w:link w:val="Cmsor2Char"/>
    <w:uiPriority w:val="9"/>
    <w:qFormat/>
    <w:rsid w:val="003D0E09"/>
    <w:pPr>
      <w:spacing w:before="100" w:beforeAutospacing="1" w:after="100" w:afterAutospacing="1"/>
      <w:outlineLvl w:val="1"/>
    </w:pPr>
    <w:rPr>
      <w:rFonts w:ascii="Times New Roman" w:eastAsia="Times New Roman" w:hAnsi="Times New Roman" w:cs="Times New Roman"/>
      <w:b/>
      <w:bCs/>
      <w:sz w:val="36"/>
      <w:szCs w:val="36"/>
      <w:lang w:eastAsia="hu-HU"/>
    </w:rPr>
  </w:style>
  <w:style w:type="paragraph" w:styleId="Cmsor5">
    <w:name w:val="heading 5"/>
    <w:basedOn w:val="Norml"/>
    <w:next w:val="Norml"/>
    <w:link w:val="Cmsor5Char"/>
    <w:uiPriority w:val="9"/>
    <w:semiHidden/>
    <w:unhideWhenUsed/>
    <w:qFormat/>
    <w:rsid w:val="00F73910"/>
    <w:pPr>
      <w:keepNext/>
      <w:keepLines/>
      <w:spacing w:before="200"/>
      <w:outlineLvl w:val="4"/>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TableParagraph">
    <w:name w:val="Table Paragraph"/>
    <w:basedOn w:val="Norml"/>
    <w:uiPriority w:val="1"/>
    <w:qFormat/>
    <w:rsid w:val="00F73910"/>
    <w:pPr>
      <w:widowControl w:val="0"/>
    </w:pPr>
    <w:rPr>
      <w:rFonts w:asciiTheme="minorHAnsi" w:hAnsiTheme="minorHAnsi" w:cstheme="minorBidi"/>
      <w:lang w:val="en-US"/>
    </w:rPr>
  </w:style>
  <w:style w:type="character" w:customStyle="1" w:styleId="Cmsor1Char">
    <w:name w:val="Címsor 1 Char"/>
    <w:basedOn w:val="Bekezdsalapbettpusa"/>
    <w:link w:val="Cmsor1"/>
    <w:uiPriority w:val="9"/>
    <w:rsid w:val="00F73910"/>
    <w:rPr>
      <w:rFonts w:ascii="Times New Roman" w:eastAsia="Times New Roman" w:hAnsi="Times New Roman"/>
      <w:sz w:val="26"/>
      <w:szCs w:val="26"/>
      <w:lang w:val="en-US"/>
    </w:rPr>
  </w:style>
  <w:style w:type="character" w:customStyle="1" w:styleId="Cmsor5Char">
    <w:name w:val="Címsor 5 Char"/>
    <w:basedOn w:val="Bekezdsalapbettpusa"/>
    <w:link w:val="Cmsor5"/>
    <w:uiPriority w:val="9"/>
    <w:semiHidden/>
    <w:rsid w:val="00F73910"/>
    <w:rPr>
      <w:rFonts w:asciiTheme="majorHAnsi" w:eastAsiaTheme="majorEastAsia" w:hAnsiTheme="majorHAnsi" w:cstheme="majorBidi"/>
      <w:color w:val="243F60" w:themeColor="accent1" w:themeShade="7F"/>
    </w:rPr>
  </w:style>
  <w:style w:type="paragraph" w:styleId="Szvegtrzs">
    <w:name w:val="Body Text"/>
    <w:basedOn w:val="Norml"/>
    <w:link w:val="SzvegtrzsChar"/>
    <w:uiPriority w:val="1"/>
    <w:unhideWhenUsed/>
    <w:qFormat/>
    <w:rsid w:val="00F73910"/>
    <w:pPr>
      <w:widowControl w:val="0"/>
      <w:ind w:left="110"/>
    </w:pPr>
    <w:rPr>
      <w:rFonts w:ascii="Times New Roman" w:eastAsia="Times New Roman" w:hAnsi="Times New Roman" w:cstheme="minorBidi"/>
      <w:sz w:val="25"/>
      <w:szCs w:val="25"/>
      <w:lang w:val="en-US"/>
    </w:rPr>
  </w:style>
  <w:style w:type="character" w:customStyle="1" w:styleId="SzvegtrzsChar">
    <w:name w:val="Szövegtörzs Char"/>
    <w:basedOn w:val="Bekezdsalapbettpusa"/>
    <w:link w:val="Szvegtrzs"/>
    <w:uiPriority w:val="1"/>
    <w:rsid w:val="00F73910"/>
    <w:rPr>
      <w:rFonts w:ascii="Times New Roman" w:eastAsia="Times New Roman" w:hAnsi="Times New Roman"/>
      <w:sz w:val="25"/>
      <w:szCs w:val="25"/>
      <w:lang w:val="en-US"/>
    </w:rPr>
  </w:style>
  <w:style w:type="paragraph" w:styleId="Alcm">
    <w:name w:val="Subtitle"/>
    <w:basedOn w:val="Norml"/>
    <w:next w:val="Norml"/>
    <w:link w:val="AlcmChar"/>
    <w:qFormat/>
    <w:rsid w:val="00F73910"/>
    <w:pPr>
      <w:suppressAutoHyphens/>
      <w:spacing w:after="60"/>
      <w:jc w:val="center"/>
      <w:outlineLvl w:val="1"/>
    </w:pPr>
    <w:rPr>
      <w:rFonts w:ascii="Cambria" w:eastAsia="Times New Roman" w:hAnsi="Cambria" w:cs="Times New Roman"/>
      <w:sz w:val="24"/>
      <w:szCs w:val="24"/>
      <w:lang w:val="ru-RU" w:eastAsia="ar-SA"/>
    </w:rPr>
  </w:style>
  <w:style w:type="character" w:customStyle="1" w:styleId="AlcmChar">
    <w:name w:val="Alcím Char"/>
    <w:basedOn w:val="Bekezdsalapbettpusa"/>
    <w:link w:val="Alcm"/>
    <w:rsid w:val="00F73910"/>
    <w:rPr>
      <w:rFonts w:ascii="Cambria" w:eastAsia="Times New Roman" w:hAnsi="Cambria" w:cs="Times New Roman"/>
      <w:sz w:val="24"/>
      <w:szCs w:val="24"/>
      <w:lang w:val="ru-RU" w:eastAsia="ar-SA"/>
    </w:rPr>
  </w:style>
  <w:style w:type="paragraph" w:styleId="Nincstrkz">
    <w:name w:val="No Spacing"/>
    <w:qFormat/>
    <w:rsid w:val="00F73910"/>
    <w:pPr>
      <w:spacing w:after="0" w:line="240" w:lineRule="auto"/>
    </w:pPr>
    <w:rPr>
      <w:rFonts w:ascii="Calibri" w:eastAsia="Times New Roman" w:hAnsi="Calibri" w:cs="Times New Roman"/>
      <w:lang w:val="en-US"/>
    </w:rPr>
  </w:style>
  <w:style w:type="paragraph" w:styleId="Listaszerbekezds">
    <w:name w:val="List Paragraph"/>
    <w:basedOn w:val="Norml"/>
    <w:uiPriority w:val="1"/>
    <w:qFormat/>
    <w:rsid w:val="00F73910"/>
    <w:pPr>
      <w:widowControl w:val="0"/>
    </w:pPr>
    <w:rPr>
      <w:rFonts w:asciiTheme="minorHAnsi" w:hAnsiTheme="minorHAnsi" w:cstheme="minorBidi"/>
      <w:lang w:val="en-US"/>
    </w:rPr>
  </w:style>
  <w:style w:type="paragraph" w:styleId="Lbjegyzetszveg">
    <w:name w:val="footnote text"/>
    <w:basedOn w:val="Norml"/>
    <w:link w:val="LbjegyzetszvegChar"/>
    <w:uiPriority w:val="99"/>
    <w:unhideWhenUsed/>
    <w:rsid w:val="000B2C6A"/>
    <w:rPr>
      <w:sz w:val="20"/>
      <w:szCs w:val="20"/>
    </w:rPr>
  </w:style>
  <w:style w:type="character" w:customStyle="1" w:styleId="LbjegyzetszvegChar">
    <w:name w:val="Lábjegyzetszöveg Char"/>
    <w:basedOn w:val="Bekezdsalapbettpusa"/>
    <w:link w:val="Lbjegyzetszveg"/>
    <w:uiPriority w:val="99"/>
    <w:rsid w:val="000B2C6A"/>
    <w:rPr>
      <w:rFonts w:ascii="Calibri" w:hAnsi="Calibri" w:cs="Calibri"/>
      <w:sz w:val="20"/>
      <w:szCs w:val="20"/>
    </w:rPr>
  </w:style>
  <w:style w:type="character" w:styleId="Lbjegyzet-hivatkozs">
    <w:name w:val="footnote reference"/>
    <w:aliases w:val="fr"/>
    <w:basedOn w:val="Bekezdsalapbettpusa"/>
    <w:uiPriority w:val="99"/>
    <w:semiHidden/>
    <w:unhideWhenUsed/>
    <w:rsid w:val="000B2C6A"/>
    <w:rPr>
      <w:vertAlign w:val="superscript"/>
    </w:rPr>
  </w:style>
  <w:style w:type="character" w:styleId="Hiperhivatkozs">
    <w:name w:val="Hyperlink"/>
    <w:basedOn w:val="Bekezdsalapbettpusa"/>
    <w:uiPriority w:val="99"/>
    <w:unhideWhenUsed/>
    <w:rsid w:val="00C34D36"/>
    <w:rPr>
      <w:color w:val="0000FF"/>
      <w:u w:val="single"/>
    </w:rPr>
  </w:style>
  <w:style w:type="paragraph" w:styleId="lfej">
    <w:name w:val="header"/>
    <w:basedOn w:val="Norml"/>
    <w:link w:val="lfejChar"/>
    <w:uiPriority w:val="99"/>
    <w:unhideWhenUsed/>
    <w:rsid w:val="003C6332"/>
    <w:pPr>
      <w:tabs>
        <w:tab w:val="center" w:pos="4536"/>
        <w:tab w:val="right" w:pos="9072"/>
      </w:tabs>
    </w:pPr>
  </w:style>
  <w:style w:type="character" w:customStyle="1" w:styleId="lfejChar">
    <w:name w:val="Élőfej Char"/>
    <w:basedOn w:val="Bekezdsalapbettpusa"/>
    <w:link w:val="lfej"/>
    <w:uiPriority w:val="99"/>
    <w:rsid w:val="003C6332"/>
    <w:rPr>
      <w:rFonts w:ascii="Calibri" w:hAnsi="Calibri" w:cs="Calibri"/>
    </w:rPr>
  </w:style>
  <w:style w:type="paragraph" w:styleId="llb">
    <w:name w:val="footer"/>
    <w:basedOn w:val="Norml"/>
    <w:link w:val="llbChar"/>
    <w:uiPriority w:val="99"/>
    <w:unhideWhenUsed/>
    <w:rsid w:val="003C6332"/>
    <w:pPr>
      <w:tabs>
        <w:tab w:val="center" w:pos="4536"/>
        <w:tab w:val="right" w:pos="9072"/>
      </w:tabs>
    </w:pPr>
  </w:style>
  <w:style w:type="character" w:customStyle="1" w:styleId="llbChar">
    <w:name w:val="Élőláb Char"/>
    <w:basedOn w:val="Bekezdsalapbettpusa"/>
    <w:link w:val="llb"/>
    <w:uiPriority w:val="99"/>
    <w:rsid w:val="003C6332"/>
    <w:rPr>
      <w:rFonts w:ascii="Calibri" w:hAnsi="Calibri" w:cs="Calibri"/>
    </w:rPr>
  </w:style>
  <w:style w:type="paragraph" w:customStyle="1" w:styleId="style2">
    <w:name w:val="style2"/>
    <w:basedOn w:val="Norml"/>
    <w:rsid w:val="00542B57"/>
    <w:pPr>
      <w:spacing w:before="100" w:beforeAutospacing="1" w:after="100" w:afterAutospacing="1"/>
    </w:pPr>
    <w:rPr>
      <w:rFonts w:ascii="Times New Roman" w:eastAsia="Times New Roman" w:hAnsi="Times New Roman" w:cs="Times New Roman"/>
      <w:sz w:val="24"/>
      <w:szCs w:val="24"/>
      <w:lang w:eastAsia="hu-HU"/>
    </w:rPr>
  </w:style>
  <w:style w:type="paragraph" w:customStyle="1" w:styleId="responsivewebparagraph-sc-1isfdlb-0">
    <w:name w:val="responsiveweb__paragraph-sc-1isfdlb-0"/>
    <w:basedOn w:val="Norml"/>
    <w:rsid w:val="00C020A0"/>
    <w:pPr>
      <w:spacing w:before="100" w:beforeAutospacing="1" w:after="100" w:afterAutospacing="1"/>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7A1C3F"/>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A1C3F"/>
    <w:rPr>
      <w:rFonts w:ascii="Segoe UI" w:hAnsi="Segoe UI" w:cs="Segoe UI"/>
      <w:sz w:val="18"/>
      <w:szCs w:val="18"/>
    </w:rPr>
  </w:style>
  <w:style w:type="character" w:styleId="Jegyzethivatkozs">
    <w:name w:val="annotation reference"/>
    <w:basedOn w:val="Bekezdsalapbettpusa"/>
    <w:uiPriority w:val="99"/>
    <w:semiHidden/>
    <w:unhideWhenUsed/>
    <w:rsid w:val="003C37F1"/>
    <w:rPr>
      <w:sz w:val="16"/>
      <w:szCs w:val="16"/>
    </w:rPr>
  </w:style>
  <w:style w:type="paragraph" w:styleId="Jegyzetszveg">
    <w:name w:val="annotation text"/>
    <w:basedOn w:val="Norml"/>
    <w:link w:val="JegyzetszvegChar"/>
    <w:uiPriority w:val="99"/>
    <w:semiHidden/>
    <w:unhideWhenUsed/>
    <w:rsid w:val="003C37F1"/>
    <w:rPr>
      <w:sz w:val="20"/>
      <w:szCs w:val="20"/>
    </w:rPr>
  </w:style>
  <w:style w:type="character" w:customStyle="1" w:styleId="JegyzetszvegChar">
    <w:name w:val="Jegyzetszöveg Char"/>
    <w:basedOn w:val="Bekezdsalapbettpusa"/>
    <w:link w:val="Jegyzetszveg"/>
    <w:uiPriority w:val="99"/>
    <w:semiHidden/>
    <w:rsid w:val="003C37F1"/>
    <w:rPr>
      <w:rFonts w:ascii="Calibri" w:hAnsi="Calibri" w:cs="Calibri"/>
      <w:sz w:val="20"/>
      <w:szCs w:val="20"/>
    </w:rPr>
  </w:style>
  <w:style w:type="paragraph" w:styleId="Megjegyzstrgya">
    <w:name w:val="annotation subject"/>
    <w:basedOn w:val="Jegyzetszveg"/>
    <w:next w:val="Jegyzetszveg"/>
    <w:link w:val="MegjegyzstrgyaChar"/>
    <w:uiPriority w:val="99"/>
    <w:semiHidden/>
    <w:unhideWhenUsed/>
    <w:rsid w:val="003C37F1"/>
    <w:rPr>
      <w:b/>
      <w:bCs/>
    </w:rPr>
  </w:style>
  <w:style w:type="character" w:customStyle="1" w:styleId="MegjegyzstrgyaChar">
    <w:name w:val="Megjegyzés tárgya Char"/>
    <w:basedOn w:val="JegyzetszvegChar"/>
    <w:link w:val="Megjegyzstrgya"/>
    <w:uiPriority w:val="99"/>
    <w:semiHidden/>
    <w:rsid w:val="003C37F1"/>
    <w:rPr>
      <w:rFonts w:ascii="Calibri" w:hAnsi="Calibri" w:cs="Calibri"/>
      <w:b/>
      <w:bCs/>
      <w:sz w:val="20"/>
      <w:szCs w:val="20"/>
    </w:rPr>
  </w:style>
  <w:style w:type="character" w:customStyle="1" w:styleId="Cmsor2Char">
    <w:name w:val="Címsor 2 Char"/>
    <w:basedOn w:val="Bekezdsalapbettpusa"/>
    <w:link w:val="Cmsor2"/>
    <w:uiPriority w:val="9"/>
    <w:rsid w:val="003D0E09"/>
    <w:rPr>
      <w:rFonts w:ascii="Times New Roman" w:eastAsia="Times New Roman" w:hAnsi="Times New Roman" w:cs="Times New Roman"/>
      <w:b/>
      <w:bCs/>
      <w:sz w:val="36"/>
      <w:szCs w:val="36"/>
      <w:lang w:eastAsia="hu-HU"/>
    </w:rPr>
  </w:style>
  <w:style w:type="paragraph" w:styleId="NormlWeb">
    <w:name w:val="Normal (Web)"/>
    <w:basedOn w:val="Norml"/>
    <w:uiPriority w:val="99"/>
    <w:semiHidden/>
    <w:unhideWhenUsed/>
    <w:rsid w:val="00E20668"/>
    <w:pPr>
      <w:spacing w:before="100" w:beforeAutospacing="1" w:after="100" w:afterAutospacing="1"/>
    </w:pPr>
    <w:rPr>
      <w:rFonts w:ascii="Times New Roman" w:eastAsia="Times New Roman" w:hAnsi="Times New Roman" w:cs="Times New Roman"/>
      <w:sz w:val="24"/>
      <w:szCs w:val="24"/>
      <w:lang w:eastAsia="hu-HU"/>
    </w:rPr>
  </w:style>
  <w:style w:type="paragraph" w:customStyle="1" w:styleId="subhead">
    <w:name w:val="subhead"/>
    <w:basedOn w:val="Norml"/>
    <w:rsid w:val="00601E7C"/>
    <w:pPr>
      <w:spacing w:before="100" w:beforeAutospacing="1" w:after="100" w:afterAutospacing="1"/>
    </w:pPr>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73910"/>
    <w:pPr>
      <w:spacing w:after="0" w:line="240" w:lineRule="auto"/>
    </w:pPr>
    <w:rPr>
      <w:rFonts w:ascii="Calibri" w:hAnsi="Calibri" w:cs="Calibri"/>
    </w:rPr>
  </w:style>
  <w:style w:type="paragraph" w:styleId="Cmsor1">
    <w:name w:val="heading 1"/>
    <w:basedOn w:val="Norml"/>
    <w:link w:val="Cmsor1Char"/>
    <w:uiPriority w:val="9"/>
    <w:qFormat/>
    <w:rsid w:val="00F73910"/>
    <w:pPr>
      <w:widowControl w:val="0"/>
      <w:spacing w:before="4"/>
      <w:ind w:left="197"/>
      <w:outlineLvl w:val="0"/>
    </w:pPr>
    <w:rPr>
      <w:rFonts w:ascii="Times New Roman" w:eastAsia="Times New Roman" w:hAnsi="Times New Roman" w:cstheme="minorBidi"/>
      <w:sz w:val="26"/>
      <w:szCs w:val="26"/>
      <w:lang w:val="en-US"/>
    </w:rPr>
  </w:style>
  <w:style w:type="paragraph" w:styleId="Cmsor2">
    <w:name w:val="heading 2"/>
    <w:basedOn w:val="Norml"/>
    <w:link w:val="Cmsor2Char"/>
    <w:uiPriority w:val="9"/>
    <w:qFormat/>
    <w:rsid w:val="003D0E09"/>
    <w:pPr>
      <w:spacing w:before="100" w:beforeAutospacing="1" w:after="100" w:afterAutospacing="1"/>
      <w:outlineLvl w:val="1"/>
    </w:pPr>
    <w:rPr>
      <w:rFonts w:ascii="Times New Roman" w:eastAsia="Times New Roman" w:hAnsi="Times New Roman" w:cs="Times New Roman"/>
      <w:b/>
      <w:bCs/>
      <w:sz w:val="36"/>
      <w:szCs w:val="36"/>
      <w:lang w:eastAsia="hu-HU"/>
    </w:rPr>
  </w:style>
  <w:style w:type="paragraph" w:styleId="Cmsor5">
    <w:name w:val="heading 5"/>
    <w:basedOn w:val="Norml"/>
    <w:next w:val="Norml"/>
    <w:link w:val="Cmsor5Char"/>
    <w:uiPriority w:val="9"/>
    <w:semiHidden/>
    <w:unhideWhenUsed/>
    <w:qFormat/>
    <w:rsid w:val="00F73910"/>
    <w:pPr>
      <w:keepNext/>
      <w:keepLines/>
      <w:spacing w:before="200"/>
      <w:outlineLvl w:val="4"/>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TableParagraph">
    <w:name w:val="Table Paragraph"/>
    <w:basedOn w:val="Norml"/>
    <w:uiPriority w:val="1"/>
    <w:qFormat/>
    <w:rsid w:val="00F73910"/>
    <w:pPr>
      <w:widowControl w:val="0"/>
    </w:pPr>
    <w:rPr>
      <w:rFonts w:asciiTheme="minorHAnsi" w:hAnsiTheme="minorHAnsi" w:cstheme="minorBidi"/>
      <w:lang w:val="en-US"/>
    </w:rPr>
  </w:style>
  <w:style w:type="character" w:customStyle="1" w:styleId="Cmsor1Char">
    <w:name w:val="Címsor 1 Char"/>
    <w:basedOn w:val="Bekezdsalapbettpusa"/>
    <w:link w:val="Cmsor1"/>
    <w:uiPriority w:val="9"/>
    <w:rsid w:val="00F73910"/>
    <w:rPr>
      <w:rFonts w:ascii="Times New Roman" w:eastAsia="Times New Roman" w:hAnsi="Times New Roman"/>
      <w:sz w:val="26"/>
      <w:szCs w:val="26"/>
      <w:lang w:val="en-US"/>
    </w:rPr>
  </w:style>
  <w:style w:type="character" w:customStyle="1" w:styleId="Cmsor5Char">
    <w:name w:val="Címsor 5 Char"/>
    <w:basedOn w:val="Bekezdsalapbettpusa"/>
    <w:link w:val="Cmsor5"/>
    <w:uiPriority w:val="9"/>
    <w:semiHidden/>
    <w:rsid w:val="00F73910"/>
    <w:rPr>
      <w:rFonts w:asciiTheme="majorHAnsi" w:eastAsiaTheme="majorEastAsia" w:hAnsiTheme="majorHAnsi" w:cstheme="majorBidi"/>
      <w:color w:val="243F60" w:themeColor="accent1" w:themeShade="7F"/>
    </w:rPr>
  </w:style>
  <w:style w:type="paragraph" w:styleId="Szvegtrzs">
    <w:name w:val="Body Text"/>
    <w:basedOn w:val="Norml"/>
    <w:link w:val="SzvegtrzsChar"/>
    <w:uiPriority w:val="1"/>
    <w:unhideWhenUsed/>
    <w:qFormat/>
    <w:rsid w:val="00F73910"/>
    <w:pPr>
      <w:widowControl w:val="0"/>
      <w:ind w:left="110"/>
    </w:pPr>
    <w:rPr>
      <w:rFonts w:ascii="Times New Roman" w:eastAsia="Times New Roman" w:hAnsi="Times New Roman" w:cstheme="minorBidi"/>
      <w:sz w:val="25"/>
      <w:szCs w:val="25"/>
      <w:lang w:val="en-US"/>
    </w:rPr>
  </w:style>
  <w:style w:type="character" w:customStyle="1" w:styleId="SzvegtrzsChar">
    <w:name w:val="Szövegtörzs Char"/>
    <w:basedOn w:val="Bekezdsalapbettpusa"/>
    <w:link w:val="Szvegtrzs"/>
    <w:uiPriority w:val="1"/>
    <w:rsid w:val="00F73910"/>
    <w:rPr>
      <w:rFonts w:ascii="Times New Roman" w:eastAsia="Times New Roman" w:hAnsi="Times New Roman"/>
      <w:sz w:val="25"/>
      <w:szCs w:val="25"/>
      <w:lang w:val="en-US"/>
    </w:rPr>
  </w:style>
  <w:style w:type="paragraph" w:styleId="Alcm">
    <w:name w:val="Subtitle"/>
    <w:basedOn w:val="Norml"/>
    <w:next w:val="Norml"/>
    <w:link w:val="AlcmChar"/>
    <w:qFormat/>
    <w:rsid w:val="00F73910"/>
    <w:pPr>
      <w:suppressAutoHyphens/>
      <w:spacing w:after="60"/>
      <w:jc w:val="center"/>
      <w:outlineLvl w:val="1"/>
    </w:pPr>
    <w:rPr>
      <w:rFonts w:ascii="Cambria" w:eastAsia="Times New Roman" w:hAnsi="Cambria" w:cs="Times New Roman"/>
      <w:sz w:val="24"/>
      <w:szCs w:val="24"/>
      <w:lang w:val="ru-RU" w:eastAsia="ar-SA"/>
    </w:rPr>
  </w:style>
  <w:style w:type="character" w:customStyle="1" w:styleId="AlcmChar">
    <w:name w:val="Alcím Char"/>
    <w:basedOn w:val="Bekezdsalapbettpusa"/>
    <w:link w:val="Alcm"/>
    <w:rsid w:val="00F73910"/>
    <w:rPr>
      <w:rFonts w:ascii="Cambria" w:eastAsia="Times New Roman" w:hAnsi="Cambria" w:cs="Times New Roman"/>
      <w:sz w:val="24"/>
      <w:szCs w:val="24"/>
      <w:lang w:val="ru-RU" w:eastAsia="ar-SA"/>
    </w:rPr>
  </w:style>
  <w:style w:type="paragraph" w:styleId="Nincstrkz">
    <w:name w:val="No Spacing"/>
    <w:qFormat/>
    <w:rsid w:val="00F73910"/>
    <w:pPr>
      <w:spacing w:after="0" w:line="240" w:lineRule="auto"/>
    </w:pPr>
    <w:rPr>
      <w:rFonts w:ascii="Calibri" w:eastAsia="Times New Roman" w:hAnsi="Calibri" w:cs="Times New Roman"/>
      <w:lang w:val="en-US"/>
    </w:rPr>
  </w:style>
  <w:style w:type="paragraph" w:styleId="Listaszerbekezds">
    <w:name w:val="List Paragraph"/>
    <w:basedOn w:val="Norml"/>
    <w:uiPriority w:val="1"/>
    <w:qFormat/>
    <w:rsid w:val="00F73910"/>
    <w:pPr>
      <w:widowControl w:val="0"/>
    </w:pPr>
    <w:rPr>
      <w:rFonts w:asciiTheme="minorHAnsi" w:hAnsiTheme="minorHAnsi" w:cstheme="minorBidi"/>
      <w:lang w:val="en-US"/>
    </w:rPr>
  </w:style>
  <w:style w:type="paragraph" w:styleId="Lbjegyzetszveg">
    <w:name w:val="footnote text"/>
    <w:basedOn w:val="Norml"/>
    <w:link w:val="LbjegyzetszvegChar"/>
    <w:uiPriority w:val="99"/>
    <w:unhideWhenUsed/>
    <w:rsid w:val="000B2C6A"/>
    <w:rPr>
      <w:sz w:val="20"/>
      <w:szCs w:val="20"/>
    </w:rPr>
  </w:style>
  <w:style w:type="character" w:customStyle="1" w:styleId="LbjegyzetszvegChar">
    <w:name w:val="Lábjegyzetszöveg Char"/>
    <w:basedOn w:val="Bekezdsalapbettpusa"/>
    <w:link w:val="Lbjegyzetszveg"/>
    <w:uiPriority w:val="99"/>
    <w:rsid w:val="000B2C6A"/>
    <w:rPr>
      <w:rFonts w:ascii="Calibri" w:hAnsi="Calibri" w:cs="Calibri"/>
      <w:sz w:val="20"/>
      <w:szCs w:val="20"/>
    </w:rPr>
  </w:style>
  <w:style w:type="character" w:styleId="Lbjegyzet-hivatkozs">
    <w:name w:val="footnote reference"/>
    <w:aliases w:val="fr"/>
    <w:basedOn w:val="Bekezdsalapbettpusa"/>
    <w:uiPriority w:val="99"/>
    <w:semiHidden/>
    <w:unhideWhenUsed/>
    <w:rsid w:val="000B2C6A"/>
    <w:rPr>
      <w:vertAlign w:val="superscript"/>
    </w:rPr>
  </w:style>
  <w:style w:type="character" w:styleId="Hiperhivatkozs">
    <w:name w:val="Hyperlink"/>
    <w:basedOn w:val="Bekezdsalapbettpusa"/>
    <w:uiPriority w:val="99"/>
    <w:unhideWhenUsed/>
    <w:rsid w:val="00C34D36"/>
    <w:rPr>
      <w:color w:val="0000FF"/>
      <w:u w:val="single"/>
    </w:rPr>
  </w:style>
  <w:style w:type="paragraph" w:styleId="lfej">
    <w:name w:val="header"/>
    <w:basedOn w:val="Norml"/>
    <w:link w:val="lfejChar"/>
    <w:uiPriority w:val="99"/>
    <w:unhideWhenUsed/>
    <w:rsid w:val="003C6332"/>
    <w:pPr>
      <w:tabs>
        <w:tab w:val="center" w:pos="4536"/>
        <w:tab w:val="right" w:pos="9072"/>
      </w:tabs>
    </w:pPr>
  </w:style>
  <w:style w:type="character" w:customStyle="1" w:styleId="lfejChar">
    <w:name w:val="Élőfej Char"/>
    <w:basedOn w:val="Bekezdsalapbettpusa"/>
    <w:link w:val="lfej"/>
    <w:uiPriority w:val="99"/>
    <w:rsid w:val="003C6332"/>
    <w:rPr>
      <w:rFonts w:ascii="Calibri" w:hAnsi="Calibri" w:cs="Calibri"/>
    </w:rPr>
  </w:style>
  <w:style w:type="paragraph" w:styleId="llb">
    <w:name w:val="footer"/>
    <w:basedOn w:val="Norml"/>
    <w:link w:val="llbChar"/>
    <w:uiPriority w:val="99"/>
    <w:unhideWhenUsed/>
    <w:rsid w:val="003C6332"/>
    <w:pPr>
      <w:tabs>
        <w:tab w:val="center" w:pos="4536"/>
        <w:tab w:val="right" w:pos="9072"/>
      </w:tabs>
    </w:pPr>
  </w:style>
  <w:style w:type="character" w:customStyle="1" w:styleId="llbChar">
    <w:name w:val="Élőláb Char"/>
    <w:basedOn w:val="Bekezdsalapbettpusa"/>
    <w:link w:val="llb"/>
    <w:uiPriority w:val="99"/>
    <w:rsid w:val="003C6332"/>
    <w:rPr>
      <w:rFonts w:ascii="Calibri" w:hAnsi="Calibri" w:cs="Calibri"/>
    </w:rPr>
  </w:style>
  <w:style w:type="paragraph" w:customStyle="1" w:styleId="style2">
    <w:name w:val="style2"/>
    <w:basedOn w:val="Norml"/>
    <w:rsid w:val="00542B57"/>
    <w:pPr>
      <w:spacing w:before="100" w:beforeAutospacing="1" w:after="100" w:afterAutospacing="1"/>
    </w:pPr>
    <w:rPr>
      <w:rFonts w:ascii="Times New Roman" w:eastAsia="Times New Roman" w:hAnsi="Times New Roman" w:cs="Times New Roman"/>
      <w:sz w:val="24"/>
      <w:szCs w:val="24"/>
      <w:lang w:eastAsia="hu-HU"/>
    </w:rPr>
  </w:style>
  <w:style w:type="paragraph" w:customStyle="1" w:styleId="responsivewebparagraph-sc-1isfdlb-0">
    <w:name w:val="responsiveweb__paragraph-sc-1isfdlb-0"/>
    <w:basedOn w:val="Norml"/>
    <w:rsid w:val="00C020A0"/>
    <w:pPr>
      <w:spacing w:before="100" w:beforeAutospacing="1" w:after="100" w:afterAutospacing="1"/>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7A1C3F"/>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A1C3F"/>
    <w:rPr>
      <w:rFonts w:ascii="Segoe UI" w:hAnsi="Segoe UI" w:cs="Segoe UI"/>
      <w:sz w:val="18"/>
      <w:szCs w:val="18"/>
    </w:rPr>
  </w:style>
  <w:style w:type="character" w:styleId="Jegyzethivatkozs">
    <w:name w:val="annotation reference"/>
    <w:basedOn w:val="Bekezdsalapbettpusa"/>
    <w:uiPriority w:val="99"/>
    <w:semiHidden/>
    <w:unhideWhenUsed/>
    <w:rsid w:val="003C37F1"/>
    <w:rPr>
      <w:sz w:val="16"/>
      <w:szCs w:val="16"/>
    </w:rPr>
  </w:style>
  <w:style w:type="paragraph" w:styleId="Jegyzetszveg">
    <w:name w:val="annotation text"/>
    <w:basedOn w:val="Norml"/>
    <w:link w:val="JegyzetszvegChar"/>
    <w:uiPriority w:val="99"/>
    <w:semiHidden/>
    <w:unhideWhenUsed/>
    <w:rsid w:val="003C37F1"/>
    <w:rPr>
      <w:sz w:val="20"/>
      <w:szCs w:val="20"/>
    </w:rPr>
  </w:style>
  <w:style w:type="character" w:customStyle="1" w:styleId="JegyzetszvegChar">
    <w:name w:val="Jegyzetszöveg Char"/>
    <w:basedOn w:val="Bekezdsalapbettpusa"/>
    <w:link w:val="Jegyzetszveg"/>
    <w:uiPriority w:val="99"/>
    <w:semiHidden/>
    <w:rsid w:val="003C37F1"/>
    <w:rPr>
      <w:rFonts w:ascii="Calibri" w:hAnsi="Calibri" w:cs="Calibri"/>
      <w:sz w:val="20"/>
      <w:szCs w:val="20"/>
    </w:rPr>
  </w:style>
  <w:style w:type="paragraph" w:styleId="Megjegyzstrgya">
    <w:name w:val="annotation subject"/>
    <w:basedOn w:val="Jegyzetszveg"/>
    <w:next w:val="Jegyzetszveg"/>
    <w:link w:val="MegjegyzstrgyaChar"/>
    <w:uiPriority w:val="99"/>
    <w:semiHidden/>
    <w:unhideWhenUsed/>
    <w:rsid w:val="003C37F1"/>
    <w:rPr>
      <w:b/>
      <w:bCs/>
    </w:rPr>
  </w:style>
  <w:style w:type="character" w:customStyle="1" w:styleId="MegjegyzstrgyaChar">
    <w:name w:val="Megjegyzés tárgya Char"/>
    <w:basedOn w:val="JegyzetszvegChar"/>
    <w:link w:val="Megjegyzstrgya"/>
    <w:uiPriority w:val="99"/>
    <w:semiHidden/>
    <w:rsid w:val="003C37F1"/>
    <w:rPr>
      <w:rFonts w:ascii="Calibri" w:hAnsi="Calibri" w:cs="Calibri"/>
      <w:b/>
      <w:bCs/>
      <w:sz w:val="20"/>
      <w:szCs w:val="20"/>
    </w:rPr>
  </w:style>
  <w:style w:type="character" w:customStyle="1" w:styleId="Cmsor2Char">
    <w:name w:val="Címsor 2 Char"/>
    <w:basedOn w:val="Bekezdsalapbettpusa"/>
    <w:link w:val="Cmsor2"/>
    <w:uiPriority w:val="9"/>
    <w:rsid w:val="003D0E09"/>
    <w:rPr>
      <w:rFonts w:ascii="Times New Roman" w:eastAsia="Times New Roman" w:hAnsi="Times New Roman" w:cs="Times New Roman"/>
      <w:b/>
      <w:bCs/>
      <w:sz w:val="36"/>
      <w:szCs w:val="36"/>
      <w:lang w:eastAsia="hu-HU"/>
    </w:rPr>
  </w:style>
  <w:style w:type="paragraph" w:styleId="NormlWeb">
    <w:name w:val="Normal (Web)"/>
    <w:basedOn w:val="Norml"/>
    <w:uiPriority w:val="99"/>
    <w:semiHidden/>
    <w:unhideWhenUsed/>
    <w:rsid w:val="00E20668"/>
    <w:pPr>
      <w:spacing w:before="100" w:beforeAutospacing="1" w:after="100" w:afterAutospacing="1"/>
    </w:pPr>
    <w:rPr>
      <w:rFonts w:ascii="Times New Roman" w:eastAsia="Times New Roman" w:hAnsi="Times New Roman" w:cs="Times New Roman"/>
      <w:sz w:val="24"/>
      <w:szCs w:val="24"/>
      <w:lang w:eastAsia="hu-HU"/>
    </w:rPr>
  </w:style>
  <w:style w:type="paragraph" w:customStyle="1" w:styleId="subhead">
    <w:name w:val="subhead"/>
    <w:basedOn w:val="Norml"/>
    <w:rsid w:val="00601E7C"/>
    <w:pPr>
      <w:spacing w:before="100" w:beforeAutospacing="1" w:after="100" w:afterAutospacing="1"/>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5797">
      <w:bodyDiv w:val="1"/>
      <w:marLeft w:val="0"/>
      <w:marRight w:val="0"/>
      <w:marTop w:val="0"/>
      <w:marBottom w:val="0"/>
      <w:divBdr>
        <w:top w:val="none" w:sz="0" w:space="0" w:color="auto"/>
        <w:left w:val="none" w:sz="0" w:space="0" w:color="auto"/>
        <w:bottom w:val="none" w:sz="0" w:space="0" w:color="auto"/>
        <w:right w:val="none" w:sz="0" w:space="0" w:color="auto"/>
      </w:divBdr>
    </w:div>
    <w:div w:id="80370567">
      <w:bodyDiv w:val="1"/>
      <w:marLeft w:val="0"/>
      <w:marRight w:val="0"/>
      <w:marTop w:val="0"/>
      <w:marBottom w:val="0"/>
      <w:divBdr>
        <w:top w:val="none" w:sz="0" w:space="0" w:color="auto"/>
        <w:left w:val="none" w:sz="0" w:space="0" w:color="auto"/>
        <w:bottom w:val="none" w:sz="0" w:space="0" w:color="auto"/>
        <w:right w:val="none" w:sz="0" w:space="0" w:color="auto"/>
      </w:divBdr>
    </w:div>
    <w:div w:id="109251999">
      <w:bodyDiv w:val="1"/>
      <w:marLeft w:val="0"/>
      <w:marRight w:val="0"/>
      <w:marTop w:val="0"/>
      <w:marBottom w:val="0"/>
      <w:divBdr>
        <w:top w:val="none" w:sz="0" w:space="0" w:color="auto"/>
        <w:left w:val="none" w:sz="0" w:space="0" w:color="auto"/>
        <w:bottom w:val="none" w:sz="0" w:space="0" w:color="auto"/>
        <w:right w:val="none" w:sz="0" w:space="0" w:color="auto"/>
      </w:divBdr>
      <w:divsChild>
        <w:div w:id="210072684">
          <w:marLeft w:val="0"/>
          <w:marRight w:val="0"/>
          <w:marTop w:val="0"/>
          <w:marBottom w:val="0"/>
          <w:divBdr>
            <w:top w:val="none" w:sz="0" w:space="0" w:color="auto"/>
            <w:left w:val="none" w:sz="0" w:space="0" w:color="auto"/>
            <w:bottom w:val="none" w:sz="0" w:space="0" w:color="auto"/>
            <w:right w:val="none" w:sz="0" w:space="0" w:color="auto"/>
          </w:divBdr>
        </w:div>
      </w:divsChild>
    </w:div>
    <w:div w:id="156190964">
      <w:bodyDiv w:val="1"/>
      <w:marLeft w:val="0"/>
      <w:marRight w:val="0"/>
      <w:marTop w:val="0"/>
      <w:marBottom w:val="0"/>
      <w:divBdr>
        <w:top w:val="none" w:sz="0" w:space="0" w:color="auto"/>
        <w:left w:val="none" w:sz="0" w:space="0" w:color="auto"/>
        <w:bottom w:val="none" w:sz="0" w:space="0" w:color="auto"/>
        <w:right w:val="none" w:sz="0" w:space="0" w:color="auto"/>
      </w:divBdr>
    </w:div>
    <w:div w:id="281036922">
      <w:bodyDiv w:val="1"/>
      <w:marLeft w:val="0"/>
      <w:marRight w:val="0"/>
      <w:marTop w:val="0"/>
      <w:marBottom w:val="0"/>
      <w:divBdr>
        <w:top w:val="none" w:sz="0" w:space="0" w:color="auto"/>
        <w:left w:val="none" w:sz="0" w:space="0" w:color="auto"/>
        <w:bottom w:val="none" w:sz="0" w:space="0" w:color="auto"/>
        <w:right w:val="none" w:sz="0" w:space="0" w:color="auto"/>
      </w:divBdr>
    </w:div>
    <w:div w:id="311564906">
      <w:bodyDiv w:val="1"/>
      <w:marLeft w:val="0"/>
      <w:marRight w:val="0"/>
      <w:marTop w:val="0"/>
      <w:marBottom w:val="0"/>
      <w:divBdr>
        <w:top w:val="none" w:sz="0" w:space="0" w:color="auto"/>
        <w:left w:val="none" w:sz="0" w:space="0" w:color="auto"/>
        <w:bottom w:val="none" w:sz="0" w:space="0" w:color="auto"/>
        <w:right w:val="none" w:sz="0" w:space="0" w:color="auto"/>
      </w:divBdr>
    </w:div>
    <w:div w:id="336691020">
      <w:bodyDiv w:val="1"/>
      <w:marLeft w:val="0"/>
      <w:marRight w:val="0"/>
      <w:marTop w:val="0"/>
      <w:marBottom w:val="0"/>
      <w:divBdr>
        <w:top w:val="none" w:sz="0" w:space="0" w:color="auto"/>
        <w:left w:val="none" w:sz="0" w:space="0" w:color="auto"/>
        <w:bottom w:val="none" w:sz="0" w:space="0" w:color="auto"/>
        <w:right w:val="none" w:sz="0" w:space="0" w:color="auto"/>
      </w:divBdr>
    </w:div>
    <w:div w:id="350302303">
      <w:bodyDiv w:val="1"/>
      <w:marLeft w:val="0"/>
      <w:marRight w:val="0"/>
      <w:marTop w:val="0"/>
      <w:marBottom w:val="0"/>
      <w:divBdr>
        <w:top w:val="none" w:sz="0" w:space="0" w:color="auto"/>
        <w:left w:val="none" w:sz="0" w:space="0" w:color="auto"/>
        <w:bottom w:val="none" w:sz="0" w:space="0" w:color="auto"/>
        <w:right w:val="none" w:sz="0" w:space="0" w:color="auto"/>
      </w:divBdr>
    </w:div>
    <w:div w:id="361251978">
      <w:bodyDiv w:val="1"/>
      <w:marLeft w:val="0"/>
      <w:marRight w:val="0"/>
      <w:marTop w:val="0"/>
      <w:marBottom w:val="0"/>
      <w:divBdr>
        <w:top w:val="none" w:sz="0" w:space="0" w:color="auto"/>
        <w:left w:val="none" w:sz="0" w:space="0" w:color="auto"/>
        <w:bottom w:val="none" w:sz="0" w:space="0" w:color="auto"/>
        <w:right w:val="none" w:sz="0" w:space="0" w:color="auto"/>
      </w:divBdr>
    </w:div>
    <w:div w:id="449395276">
      <w:bodyDiv w:val="1"/>
      <w:marLeft w:val="0"/>
      <w:marRight w:val="0"/>
      <w:marTop w:val="0"/>
      <w:marBottom w:val="0"/>
      <w:divBdr>
        <w:top w:val="none" w:sz="0" w:space="0" w:color="auto"/>
        <w:left w:val="none" w:sz="0" w:space="0" w:color="auto"/>
        <w:bottom w:val="none" w:sz="0" w:space="0" w:color="auto"/>
        <w:right w:val="none" w:sz="0" w:space="0" w:color="auto"/>
      </w:divBdr>
    </w:div>
    <w:div w:id="533999845">
      <w:bodyDiv w:val="1"/>
      <w:marLeft w:val="0"/>
      <w:marRight w:val="0"/>
      <w:marTop w:val="0"/>
      <w:marBottom w:val="0"/>
      <w:divBdr>
        <w:top w:val="none" w:sz="0" w:space="0" w:color="auto"/>
        <w:left w:val="none" w:sz="0" w:space="0" w:color="auto"/>
        <w:bottom w:val="none" w:sz="0" w:space="0" w:color="auto"/>
        <w:right w:val="none" w:sz="0" w:space="0" w:color="auto"/>
      </w:divBdr>
    </w:div>
    <w:div w:id="560555682">
      <w:bodyDiv w:val="1"/>
      <w:marLeft w:val="0"/>
      <w:marRight w:val="0"/>
      <w:marTop w:val="0"/>
      <w:marBottom w:val="0"/>
      <w:divBdr>
        <w:top w:val="none" w:sz="0" w:space="0" w:color="auto"/>
        <w:left w:val="none" w:sz="0" w:space="0" w:color="auto"/>
        <w:bottom w:val="none" w:sz="0" w:space="0" w:color="auto"/>
        <w:right w:val="none" w:sz="0" w:space="0" w:color="auto"/>
      </w:divBdr>
    </w:div>
    <w:div w:id="813372102">
      <w:bodyDiv w:val="1"/>
      <w:marLeft w:val="0"/>
      <w:marRight w:val="0"/>
      <w:marTop w:val="0"/>
      <w:marBottom w:val="0"/>
      <w:divBdr>
        <w:top w:val="none" w:sz="0" w:space="0" w:color="auto"/>
        <w:left w:val="none" w:sz="0" w:space="0" w:color="auto"/>
        <w:bottom w:val="none" w:sz="0" w:space="0" w:color="auto"/>
        <w:right w:val="none" w:sz="0" w:space="0" w:color="auto"/>
      </w:divBdr>
    </w:div>
    <w:div w:id="814759071">
      <w:bodyDiv w:val="1"/>
      <w:marLeft w:val="0"/>
      <w:marRight w:val="0"/>
      <w:marTop w:val="0"/>
      <w:marBottom w:val="0"/>
      <w:divBdr>
        <w:top w:val="none" w:sz="0" w:space="0" w:color="auto"/>
        <w:left w:val="none" w:sz="0" w:space="0" w:color="auto"/>
        <w:bottom w:val="none" w:sz="0" w:space="0" w:color="auto"/>
        <w:right w:val="none" w:sz="0" w:space="0" w:color="auto"/>
      </w:divBdr>
    </w:div>
    <w:div w:id="959914575">
      <w:bodyDiv w:val="1"/>
      <w:marLeft w:val="0"/>
      <w:marRight w:val="0"/>
      <w:marTop w:val="0"/>
      <w:marBottom w:val="0"/>
      <w:divBdr>
        <w:top w:val="none" w:sz="0" w:space="0" w:color="auto"/>
        <w:left w:val="none" w:sz="0" w:space="0" w:color="auto"/>
        <w:bottom w:val="none" w:sz="0" w:space="0" w:color="auto"/>
        <w:right w:val="none" w:sz="0" w:space="0" w:color="auto"/>
      </w:divBdr>
    </w:div>
    <w:div w:id="976110509">
      <w:bodyDiv w:val="1"/>
      <w:marLeft w:val="0"/>
      <w:marRight w:val="0"/>
      <w:marTop w:val="0"/>
      <w:marBottom w:val="0"/>
      <w:divBdr>
        <w:top w:val="none" w:sz="0" w:space="0" w:color="auto"/>
        <w:left w:val="none" w:sz="0" w:space="0" w:color="auto"/>
        <w:bottom w:val="none" w:sz="0" w:space="0" w:color="auto"/>
        <w:right w:val="none" w:sz="0" w:space="0" w:color="auto"/>
      </w:divBdr>
    </w:div>
    <w:div w:id="1021124306">
      <w:bodyDiv w:val="1"/>
      <w:marLeft w:val="0"/>
      <w:marRight w:val="0"/>
      <w:marTop w:val="0"/>
      <w:marBottom w:val="0"/>
      <w:divBdr>
        <w:top w:val="none" w:sz="0" w:space="0" w:color="auto"/>
        <w:left w:val="none" w:sz="0" w:space="0" w:color="auto"/>
        <w:bottom w:val="none" w:sz="0" w:space="0" w:color="auto"/>
        <w:right w:val="none" w:sz="0" w:space="0" w:color="auto"/>
      </w:divBdr>
    </w:div>
    <w:div w:id="1027606135">
      <w:bodyDiv w:val="1"/>
      <w:marLeft w:val="0"/>
      <w:marRight w:val="0"/>
      <w:marTop w:val="0"/>
      <w:marBottom w:val="0"/>
      <w:divBdr>
        <w:top w:val="none" w:sz="0" w:space="0" w:color="auto"/>
        <w:left w:val="none" w:sz="0" w:space="0" w:color="auto"/>
        <w:bottom w:val="none" w:sz="0" w:space="0" w:color="auto"/>
        <w:right w:val="none" w:sz="0" w:space="0" w:color="auto"/>
      </w:divBdr>
    </w:div>
    <w:div w:id="1105881583">
      <w:bodyDiv w:val="1"/>
      <w:marLeft w:val="0"/>
      <w:marRight w:val="0"/>
      <w:marTop w:val="0"/>
      <w:marBottom w:val="0"/>
      <w:divBdr>
        <w:top w:val="none" w:sz="0" w:space="0" w:color="auto"/>
        <w:left w:val="none" w:sz="0" w:space="0" w:color="auto"/>
        <w:bottom w:val="none" w:sz="0" w:space="0" w:color="auto"/>
        <w:right w:val="none" w:sz="0" w:space="0" w:color="auto"/>
      </w:divBdr>
      <w:divsChild>
        <w:div w:id="994334010">
          <w:marLeft w:val="0"/>
          <w:marRight w:val="0"/>
          <w:marTop w:val="0"/>
          <w:marBottom w:val="0"/>
          <w:divBdr>
            <w:top w:val="none" w:sz="0" w:space="0" w:color="auto"/>
            <w:left w:val="none" w:sz="0" w:space="0" w:color="auto"/>
            <w:bottom w:val="none" w:sz="0" w:space="0" w:color="auto"/>
            <w:right w:val="none" w:sz="0" w:space="0" w:color="auto"/>
          </w:divBdr>
          <w:divsChild>
            <w:div w:id="30805388">
              <w:marLeft w:val="0"/>
              <w:marRight w:val="0"/>
              <w:marTop w:val="0"/>
              <w:marBottom w:val="0"/>
              <w:divBdr>
                <w:top w:val="none" w:sz="0" w:space="0" w:color="auto"/>
                <w:left w:val="none" w:sz="0" w:space="0" w:color="auto"/>
                <w:bottom w:val="none" w:sz="0" w:space="0" w:color="auto"/>
                <w:right w:val="none" w:sz="0" w:space="0" w:color="auto"/>
              </w:divBdr>
              <w:divsChild>
                <w:div w:id="1133062774">
                  <w:marLeft w:val="0"/>
                  <w:marRight w:val="0"/>
                  <w:marTop w:val="0"/>
                  <w:marBottom w:val="0"/>
                  <w:divBdr>
                    <w:top w:val="none" w:sz="0" w:space="0" w:color="auto"/>
                    <w:left w:val="none" w:sz="0" w:space="0" w:color="auto"/>
                    <w:bottom w:val="none" w:sz="0" w:space="0" w:color="auto"/>
                    <w:right w:val="none" w:sz="0" w:space="0" w:color="auto"/>
                  </w:divBdr>
                  <w:divsChild>
                    <w:div w:id="64809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354587">
      <w:bodyDiv w:val="1"/>
      <w:marLeft w:val="0"/>
      <w:marRight w:val="0"/>
      <w:marTop w:val="0"/>
      <w:marBottom w:val="0"/>
      <w:divBdr>
        <w:top w:val="none" w:sz="0" w:space="0" w:color="auto"/>
        <w:left w:val="none" w:sz="0" w:space="0" w:color="auto"/>
        <w:bottom w:val="none" w:sz="0" w:space="0" w:color="auto"/>
        <w:right w:val="none" w:sz="0" w:space="0" w:color="auto"/>
      </w:divBdr>
    </w:div>
    <w:div w:id="1255824706">
      <w:bodyDiv w:val="1"/>
      <w:marLeft w:val="0"/>
      <w:marRight w:val="0"/>
      <w:marTop w:val="0"/>
      <w:marBottom w:val="0"/>
      <w:divBdr>
        <w:top w:val="none" w:sz="0" w:space="0" w:color="auto"/>
        <w:left w:val="none" w:sz="0" w:space="0" w:color="auto"/>
        <w:bottom w:val="none" w:sz="0" w:space="0" w:color="auto"/>
        <w:right w:val="none" w:sz="0" w:space="0" w:color="auto"/>
      </w:divBdr>
    </w:div>
    <w:div w:id="1261254701">
      <w:bodyDiv w:val="1"/>
      <w:marLeft w:val="0"/>
      <w:marRight w:val="0"/>
      <w:marTop w:val="0"/>
      <w:marBottom w:val="0"/>
      <w:divBdr>
        <w:top w:val="none" w:sz="0" w:space="0" w:color="auto"/>
        <w:left w:val="none" w:sz="0" w:space="0" w:color="auto"/>
        <w:bottom w:val="none" w:sz="0" w:space="0" w:color="auto"/>
        <w:right w:val="none" w:sz="0" w:space="0" w:color="auto"/>
      </w:divBdr>
    </w:div>
    <w:div w:id="1280989525">
      <w:bodyDiv w:val="1"/>
      <w:marLeft w:val="0"/>
      <w:marRight w:val="0"/>
      <w:marTop w:val="0"/>
      <w:marBottom w:val="0"/>
      <w:divBdr>
        <w:top w:val="none" w:sz="0" w:space="0" w:color="auto"/>
        <w:left w:val="none" w:sz="0" w:space="0" w:color="auto"/>
        <w:bottom w:val="none" w:sz="0" w:space="0" w:color="auto"/>
        <w:right w:val="none" w:sz="0" w:space="0" w:color="auto"/>
      </w:divBdr>
    </w:div>
    <w:div w:id="1343702944">
      <w:bodyDiv w:val="1"/>
      <w:marLeft w:val="0"/>
      <w:marRight w:val="0"/>
      <w:marTop w:val="0"/>
      <w:marBottom w:val="0"/>
      <w:divBdr>
        <w:top w:val="none" w:sz="0" w:space="0" w:color="auto"/>
        <w:left w:val="none" w:sz="0" w:space="0" w:color="auto"/>
        <w:bottom w:val="none" w:sz="0" w:space="0" w:color="auto"/>
        <w:right w:val="none" w:sz="0" w:space="0" w:color="auto"/>
      </w:divBdr>
      <w:divsChild>
        <w:div w:id="1184632812">
          <w:marLeft w:val="0"/>
          <w:marRight w:val="0"/>
          <w:marTop w:val="0"/>
          <w:marBottom w:val="0"/>
          <w:divBdr>
            <w:top w:val="none" w:sz="0" w:space="0" w:color="auto"/>
            <w:left w:val="none" w:sz="0" w:space="0" w:color="auto"/>
            <w:bottom w:val="none" w:sz="0" w:space="0" w:color="auto"/>
            <w:right w:val="none" w:sz="0" w:space="0" w:color="auto"/>
          </w:divBdr>
        </w:div>
      </w:divsChild>
    </w:div>
    <w:div w:id="1482310002">
      <w:bodyDiv w:val="1"/>
      <w:marLeft w:val="0"/>
      <w:marRight w:val="0"/>
      <w:marTop w:val="0"/>
      <w:marBottom w:val="0"/>
      <w:divBdr>
        <w:top w:val="none" w:sz="0" w:space="0" w:color="auto"/>
        <w:left w:val="none" w:sz="0" w:space="0" w:color="auto"/>
        <w:bottom w:val="none" w:sz="0" w:space="0" w:color="auto"/>
        <w:right w:val="none" w:sz="0" w:space="0" w:color="auto"/>
      </w:divBdr>
    </w:div>
    <w:div w:id="1518886082">
      <w:bodyDiv w:val="1"/>
      <w:marLeft w:val="0"/>
      <w:marRight w:val="0"/>
      <w:marTop w:val="0"/>
      <w:marBottom w:val="0"/>
      <w:divBdr>
        <w:top w:val="none" w:sz="0" w:space="0" w:color="auto"/>
        <w:left w:val="none" w:sz="0" w:space="0" w:color="auto"/>
        <w:bottom w:val="none" w:sz="0" w:space="0" w:color="auto"/>
        <w:right w:val="none" w:sz="0" w:space="0" w:color="auto"/>
      </w:divBdr>
    </w:div>
    <w:div w:id="1572930509">
      <w:bodyDiv w:val="1"/>
      <w:marLeft w:val="0"/>
      <w:marRight w:val="0"/>
      <w:marTop w:val="0"/>
      <w:marBottom w:val="0"/>
      <w:divBdr>
        <w:top w:val="none" w:sz="0" w:space="0" w:color="auto"/>
        <w:left w:val="none" w:sz="0" w:space="0" w:color="auto"/>
        <w:bottom w:val="none" w:sz="0" w:space="0" w:color="auto"/>
        <w:right w:val="none" w:sz="0" w:space="0" w:color="auto"/>
      </w:divBdr>
    </w:div>
    <w:div w:id="1771310887">
      <w:bodyDiv w:val="1"/>
      <w:marLeft w:val="0"/>
      <w:marRight w:val="0"/>
      <w:marTop w:val="0"/>
      <w:marBottom w:val="0"/>
      <w:divBdr>
        <w:top w:val="none" w:sz="0" w:space="0" w:color="auto"/>
        <w:left w:val="none" w:sz="0" w:space="0" w:color="auto"/>
        <w:bottom w:val="none" w:sz="0" w:space="0" w:color="auto"/>
        <w:right w:val="none" w:sz="0" w:space="0" w:color="auto"/>
      </w:divBdr>
    </w:div>
    <w:div w:id="1784497457">
      <w:bodyDiv w:val="1"/>
      <w:marLeft w:val="0"/>
      <w:marRight w:val="0"/>
      <w:marTop w:val="0"/>
      <w:marBottom w:val="0"/>
      <w:divBdr>
        <w:top w:val="none" w:sz="0" w:space="0" w:color="auto"/>
        <w:left w:val="none" w:sz="0" w:space="0" w:color="auto"/>
        <w:bottom w:val="none" w:sz="0" w:space="0" w:color="auto"/>
        <w:right w:val="none" w:sz="0" w:space="0" w:color="auto"/>
      </w:divBdr>
    </w:div>
    <w:div w:id="1869558624">
      <w:bodyDiv w:val="1"/>
      <w:marLeft w:val="0"/>
      <w:marRight w:val="0"/>
      <w:marTop w:val="0"/>
      <w:marBottom w:val="0"/>
      <w:divBdr>
        <w:top w:val="none" w:sz="0" w:space="0" w:color="auto"/>
        <w:left w:val="none" w:sz="0" w:space="0" w:color="auto"/>
        <w:bottom w:val="none" w:sz="0" w:space="0" w:color="auto"/>
        <w:right w:val="none" w:sz="0" w:space="0" w:color="auto"/>
      </w:divBdr>
    </w:div>
    <w:div w:id="187638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lai.org/en/assets/files/resolutions/171016-alai-further-reflections-value-gap.pdf"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http://www.alai.org/en/assets/files/resolutions/170218-value-gap-en.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opyrightseesaw.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eur-lex.europa.eu/legal-content/EN/ALL/?uri=CELEX%3A32000L0031" TargetMode="External"/><Relationship Id="rId23"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ur-lex.europa.eu/legal-content/EN/ALL/?uri=CELEX%3A32000L0031" TargetMode="External"/><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s://www.linternaute.fr/dictionnaire/fr/definition/adoucir/" TargetMode="External"/><Relationship Id="rId13" Type="http://schemas.openxmlformats.org/officeDocument/2006/relationships/hyperlink" Target="https://www.linternaute.fr/dictionnaire/fr/definition/faire/" TargetMode="External"/><Relationship Id="rId18" Type="http://schemas.openxmlformats.org/officeDocument/2006/relationships/hyperlink" Target="https://www.linternaute.fr/dictionnaire/fr/definition/ses/" TargetMode="External"/><Relationship Id="rId26" Type="http://schemas.openxmlformats.org/officeDocument/2006/relationships/hyperlink" Target="https://austria-forum.org/af/Wissenssammlungen/Sprichw%C3%B6rter/Wer%20zahlt%2C%20bestimmt%20die%20Musik" TargetMode="External"/><Relationship Id="rId3" Type="http://schemas.openxmlformats.org/officeDocument/2006/relationships/hyperlink" Target="https://www.linternaute.fr/dictionnaire/fr/definition/propos/" TargetMode="External"/><Relationship Id="rId21" Type="http://schemas.openxmlformats.org/officeDocument/2006/relationships/hyperlink" Target="https://www.thetimes.co.uk" TargetMode="External"/><Relationship Id="rId7" Type="http://schemas.openxmlformats.org/officeDocument/2006/relationships/hyperlink" Target="https://www.linternaute.fr/dictionnaire/fr/definition/rectification/" TargetMode="External"/><Relationship Id="rId12" Type="http://schemas.openxmlformats.org/officeDocument/2006/relationships/hyperlink" Target="https://www.linternaute.fr/dictionnaire/fr/definition/quelque-chose/" TargetMode="External"/><Relationship Id="rId17" Type="http://schemas.openxmlformats.org/officeDocument/2006/relationships/hyperlink" Target="https://www.linternaute.fr/dictionnaire/fr/definition/dans/" TargetMode="External"/><Relationship Id="rId25" Type="http://schemas.openxmlformats.org/officeDocument/2006/relationships/hyperlink" Target="https://www.politico.eu/articles/google-campaign-for-accontability-lobbying-humbo&#233;lts" TargetMode="External"/><Relationship Id="rId2" Type="http://schemas.openxmlformats.org/officeDocument/2006/relationships/hyperlink" Target="https://www.linternaute.fr/dictionnaire/fr/definition/un/" TargetMode="External"/><Relationship Id="rId16" Type="http://schemas.openxmlformats.org/officeDocument/2006/relationships/hyperlink" Target="https://www.linternaute.fr/dictionnaire/fr/definition/moderation/" TargetMode="External"/><Relationship Id="rId20" Type="http://schemas.openxmlformats.org/officeDocument/2006/relationships/hyperlink" Target="https://www.linternaute,fr/dictionnaire/fr/definition/mettre-un-bemol/" TargetMode="External"/><Relationship Id="rId29" Type="http://schemas.openxmlformats.org/officeDocument/2006/relationships/hyperlink" Target="https://uva.nl/ws/files/44253510/43688117.pdf" TargetMode="External"/><Relationship Id="rId1" Type="http://schemas.openxmlformats.org/officeDocument/2006/relationships/hyperlink" Target="https://www.linternaute.fr/dictionnaire/fr/definition/attenuer/" TargetMode="External"/><Relationship Id="rId6" Type="http://schemas.openxmlformats.org/officeDocument/2006/relationships/hyperlink" Target="https://www.linternaute.fr/dictionnaire/fr/definition/apportant/" TargetMode="External"/><Relationship Id="rId11" Type="http://schemas.openxmlformats.org/officeDocument/2006/relationships/hyperlink" Target="https://www.linternaute.fr/dictionnaire/fr/definition/de-1/" TargetMode="External"/><Relationship Id="rId24" Type="http://schemas.openxmlformats.org/officeDocument/2006/relationships/hyperlink" Target="https://www.thetimes.co.uk/article/google-pays-academics-millions-for-key-support-tnb3zgpxp" TargetMode="External"/><Relationship Id="rId5" Type="http://schemas.openxmlformats.org/officeDocument/2006/relationships/hyperlink" Target="https://www.linternaute.fr/dictionnaire/fr/definition/y/" TargetMode="External"/><Relationship Id="rId15" Type="http://schemas.openxmlformats.org/officeDocument/2006/relationships/hyperlink" Target="https://www.linternaute.fr/dictionnaire/fr/definition/de-1/" TargetMode="External"/><Relationship Id="rId23" Type="http://schemas.openxmlformats.org/officeDocument/2006/relationships/hyperlink" Target="https://www.latimes.com/opinion/op-ed/la-oe-bridy-perzanowski-google-tp-20170721-stg.html" TargetMode="External"/><Relationship Id="rId28" Type="http://schemas.openxmlformats.org/officeDocument/2006/relationships/hyperlink" Target="https://europeancopyrightsocietydotorg.filesworkpress.com/2015/12/european-copyright-society-opinion-on_Svensson-firstsignatoriespaginatedv31.pdf" TargetMode="External"/><Relationship Id="rId10" Type="http://schemas.openxmlformats.org/officeDocument/2006/relationships/hyperlink" Target="https://www.linternaute.fr/dictionnaire/fr/definition/importance/" TargetMode="External"/><Relationship Id="rId19" Type="http://schemas.openxmlformats.org/officeDocument/2006/relationships/hyperlink" Target="https://www.linternaute.fr/dictionnaire/fr/definition/affirmation/" TargetMode="External"/><Relationship Id="rId4" Type="http://schemas.openxmlformats.org/officeDocument/2006/relationships/hyperlink" Target="https://www.linternaute.fr/dictionnaire/fr/definition/en/" TargetMode="External"/><Relationship Id="rId9" Type="http://schemas.openxmlformats.org/officeDocument/2006/relationships/hyperlink" Target="https://www.linternaute.fr/dictionnaire/fr/definition/l/" TargetMode="External"/><Relationship Id="rId14" Type="http://schemas.openxmlformats.org/officeDocument/2006/relationships/hyperlink" Target="https://www.linternaute.fr/dictionnaire/fr/definition/preuve/" TargetMode="External"/><Relationship Id="rId22" Type="http://schemas.openxmlformats.org/officeDocument/2006/relationships/hyperlink" Target="https://www.wsj.com/articles/paying-professors-inside-googles-academic-influence-campaign-1499785286" TargetMode="External"/><Relationship Id="rId27" Type="http://schemas.openxmlformats.org/officeDocument/2006/relationships/hyperlink" Target="https://www.cisac.org/Newsroom/Society-News/Jpont-statement-on-trasfer-of-value-value-gap"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0F0CC82295124986D5BD6D3778C690" ma:contentTypeVersion="11" ma:contentTypeDescription="Create a new document." ma:contentTypeScope="" ma:versionID="3633ed891c7fbbf689be3adc89ed7a6c">
  <xsd:schema xmlns:xsd="http://www.w3.org/2001/XMLSchema" xmlns:xs="http://www.w3.org/2001/XMLSchema" xmlns:p="http://schemas.microsoft.com/office/2006/metadata/properties" xmlns:ns2="203861f0-be0e-4da3-a8a3-c95da5f8243a" xmlns:ns3="db7e3071-21dd-4251-8153-94eb4ab37eaf" targetNamespace="http://schemas.microsoft.com/office/2006/metadata/properties" ma:root="true" ma:fieldsID="eb8bd141b5a0a4db1bed2f7bf460fca9" ns2:_="" ns3:_="">
    <xsd:import namespace="203861f0-be0e-4da3-a8a3-c95da5f8243a"/>
    <xsd:import namespace="db7e3071-21dd-4251-8153-94eb4ab37e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861f0-be0e-4da3-a8a3-c95da5f824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7e3071-21dd-4251-8153-94eb4ab37ea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33365-6083-4B7D-9AA8-6D7964205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861f0-be0e-4da3-a8a3-c95da5f8243a"/>
    <ds:schemaRef ds:uri="db7e3071-21dd-4251-8153-94eb4ab37e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46C857-3760-4646-B490-DCC1550A05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6569A2-D1C2-4597-BF3E-FEBCF86D4BED}">
  <ds:schemaRefs>
    <ds:schemaRef ds:uri="http://schemas.microsoft.com/sharepoint/v3/contenttype/forms"/>
  </ds:schemaRefs>
</ds:datastoreItem>
</file>

<file path=customXml/itemProps4.xml><?xml version="1.0" encoding="utf-8"?>
<ds:datastoreItem xmlns:ds="http://schemas.openxmlformats.org/officeDocument/2006/customXml" ds:itemID="{70E2B6E1-A672-453B-901F-2D6483F4A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7900</Words>
  <Characters>54511</Characters>
  <Application>Microsoft Office Word</Application>
  <DocSecurity>0</DocSecurity>
  <Lines>454</Lines>
  <Paragraphs>124</Paragraphs>
  <ScaleCrop>false</ScaleCrop>
  <HeadingPairs>
    <vt:vector size="6" baseType="variant">
      <vt:variant>
        <vt:lpstr>Cím</vt:lpstr>
      </vt:variant>
      <vt:variant>
        <vt:i4>1</vt:i4>
      </vt:variant>
      <vt:variant>
        <vt:lpstr>Címsorok</vt:lpstr>
      </vt:variant>
      <vt:variant>
        <vt:i4>17</vt:i4>
      </vt:variant>
      <vt:variant>
        <vt:lpstr>Title</vt:lpstr>
      </vt:variant>
      <vt:variant>
        <vt:i4>1</vt:i4>
      </vt:variant>
    </vt:vector>
  </HeadingPairs>
  <TitlesOfParts>
    <vt:vector size="19" baseType="lpstr">
      <vt:lpstr/>
      <vt:lpstr>    1. Member States shall provide that an online content-sharing service provider p</vt:lpstr>
      <vt:lpstr>    An online content-sharing service provider shall therefore obtain an authorisati</vt:lpstr>
      <vt:lpstr>    2. Member States shall provide that, where an online content-sharing service pro</vt:lpstr>
      <vt:lpstr>    </vt:lpstr>
      <vt:lpstr>    The second subparagraph of Article 17(7) provides in this way:</vt:lpstr>
      <vt:lpstr>    </vt:lpstr>
      <vt:lpstr>    Member States shall ensure that users in each Member State are able to rely on a</vt:lpstr>
      <vt:lpstr>    (a) quotation, criticism, review;</vt:lpstr>
      <vt:lpstr>    (b) use for the purpose of caricature, parody or pastiche.</vt:lpstr>
      <vt:lpstr>    It is the first subparagraph of recital (70) which indicates the reasons for mak</vt:lpstr>
      <vt:lpstr>    These decisive aspects for literal, systematic and teleological interpretation m</vt:lpstr>
      <vt:lpstr>    </vt:lpstr>
      <vt:lpstr>    About the theory of “users’ rights”, it should be pointed out that, under the EU</vt:lpstr>
      <vt:lpstr>    </vt:lpstr>
      <vt:lpstr>    The fact that exceptions and limitations are not rights but permissions to use w</vt:lpstr>
      <vt:lpstr>    Budapest, March 4, 2020; a slightly corrected version of the paper originally p</vt:lpstr>
      <vt:lpstr>    </vt:lpstr>
      <vt:lpstr/>
    </vt:vector>
  </TitlesOfParts>
  <Company/>
  <LinksUpToDate>false</LinksUpToDate>
  <CharactersWithSpaces>62287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Ficsor</dc:creator>
  <cp:lastModifiedBy>Ficsor</cp:lastModifiedBy>
  <cp:revision>3</cp:revision>
  <cp:lastPrinted>2020-03-02T12:53:00Z</cp:lastPrinted>
  <dcterms:created xsi:type="dcterms:W3CDTF">2020-03-09T17:17:00Z</dcterms:created>
  <dcterms:modified xsi:type="dcterms:W3CDTF">2020-03-09T17:20:00Z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0x010100730F0CC82295124986D5BD6D3778C690</vt:lpwstr>
  </property>
</Properties>
</file>