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EA" w:rsidRDefault="00DD38EA" w:rsidP="00A26796">
      <w:pPr>
        <w:spacing w:before="100" w:beforeAutospacing="1" w:after="100" w:afterAutospacing="1" w:line="240" w:lineRule="auto"/>
        <w:jc w:val="center"/>
        <w:rPr>
          <w:rFonts w:ascii="Times New Roman" w:hAnsi="Times New Roman" w:cs="Times New Roman"/>
          <w:b/>
          <w:sz w:val="28"/>
          <w:szCs w:val="28"/>
          <w:lang w:eastAsia="hu-HU"/>
        </w:rPr>
      </w:pPr>
      <w:r w:rsidRPr="00357EFF">
        <w:rPr>
          <w:rFonts w:ascii="Times New Roman" w:hAnsi="Times New Roman" w:cs="Times New Roman"/>
          <w:b/>
          <w:i/>
          <w:sz w:val="28"/>
          <w:szCs w:val="28"/>
          <w:lang w:eastAsia="hu-HU"/>
        </w:rPr>
        <w:t>RAAP</w:t>
      </w:r>
      <w:r w:rsidRPr="00A26796">
        <w:rPr>
          <w:rFonts w:ascii="Times New Roman" w:hAnsi="Times New Roman" w:cs="Times New Roman"/>
          <w:b/>
          <w:sz w:val="28"/>
          <w:szCs w:val="28"/>
          <w:lang w:eastAsia="hu-HU"/>
        </w:rPr>
        <w:t>: the obvious, the missing</w:t>
      </w:r>
      <w:r w:rsidR="00E744B2">
        <w:rPr>
          <w:rFonts w:ascii="Times New Roman" w:hAnsi="Times New Roman" w:cs="Times New Roman"/>
          <w:b/>
          <w:sz w:val="28"/>
          <w:szCs w:val="28"/>
          <w:lang w:eastAsia="hu-HU"/>
        </w:rPr>
        <w:t>,</w:t>
      </w:r>
      <w:r w:rsidR="005341E0">
        <w:rPr>
          <w:rFonts w:ascii="Times New Roman" w:hAnsi="Times New Roman" w:cs="Times New Roman"/>
          <w:b/>
          <w:sz w:val="28"/>
          <w:szCs w:val="28"/>
          <w:lang w:eastAsia="hu-HU"/>
        </w:rPr>
        <w:t xml:space="preserve"> the </w:t>
      </w:r>
      <w:r w:rsidR="0085082F">
        <w:rPr>
          <w:rFonts w:ascii="Times New Roman" w:hAnsi="Times New Roman" w:cs="Times New Roman"/>
          <w:b/>
          <w:sz w:val="28"/>
          <w:szCs w:val="28"/>
          <w:lang w:eastAsia="hu-HU"/>
        </w:rPr>
        <w:t xml:space="preserve">regrettable </w:t>
      </w:r>
      <w:r w:rsidR="00E744B2">
        <w:rPr>
          <w:rFonts w:ascii="Times New Roman" w:hAnsi="Times New Roman" w:cs="Times New Roman"/>
          <w:b/>
          <w:sz w:val="28"/>
          <w:szCs w:val="28"/>
          <w:lang w:eastAsia="hu-HU"/>
        </w:rPr>
        <w:t>and the desirable</w:t>
      </w:r>
      <w:r w:rsidR="005341E0">
        <w:rPr>
          <w:rFonts w:ascii="Times New Roman" w:hAnsi="Times New Roman" w:cs="Times New Roman"/>
          <w:b/>
          <w:sz w:val="28"/>
          <w:szCs w:val="28"/>
          <w:lang w:eastAsia="hu-HU"/>
        </w:rPr>
        <w:t xml:space="preserve"> </w:t>
      </w:r>
    </w:p>
    <w:p w:rsidR="0062784A" w:rsidRPr="0062784A" w:rsidRDefault="0062784A" w:rsidP="00A26796">
      <w:pPr>
        <w:spacing w:before="100" w:beforeAutospacing="1" w:after="100" w:afterAutospacing="1" w:line="240" w:lineRule="auto"/>
        <w:jc w:val="center"/>
        <w:rPr>
          <w:rFonts w:ascii="Times New Roman" w:hAnsi="Times New Roman" w:cs="Times New Roman"/>
          <w:b/>
          <w:sz w:val="24"/>
          <w:szCs w:val="24"/>
          <w:lang w:eastAsia="hu-HU"/>
        </w:rPr>
      </w:pPr>
      <w:r w:rsidRPr="0062784A">
        <w:rPr>
          <w:rFonts w:ascii="Times New Roman" w:hAnsi="Times New Roman" w:cs="Times New Roman"/>
          <w:b/>
          <w:sz w:val="24"/>
          <w:szCs w:val="24"/>
          <w:lang w:eastAsia="hu-HU"/>
        </w:rPr>
        <w:t>Mihály J. Ficsor</w:t>
      </w:r>
      <w:r w:rsidR="00752C6B" w:rsidRPr="00752C6B">
        <w:rPr>
          <w:rStyle w:val="Lbjegyzet-hivatkozs"/>
          <w:rFonts w:ascii="Times New Roman" w:hAnsi="Times New Roman" w:cs="Times New Roman"/>
          <w:b/>
          <w:sz w:val="24"/>
          <w:szCs w:val="24"/>
          <w:lang w:eastAsia="hu-HU"/>
        </w:rPr>
        <w:footnoteReference w:customMarkFollows="1" w:id="1"/>
        <w:sym w:font="Symbol" w:char="F02A"/>
      </w:r>
      <w:r w:rsidRPr="0062784A">
        <w:rPr>
          <w:rFonts w:ascii="Times New Roman" w:hAnsi="Times New Roman" w:cs="Times New Roman"/>
          <w:b/>
          <w:sz w:val="24"/>
          <w:szCs w:val="24"/>
          <w:lang w:eastAsia="hu-HU"/>
        </w:rPr>
        <w:t xml:space="preserve"> </w:t>
      </w:r>
    </w:p>
    <w:p w:rsidR="00DD38EA" w:rsidRPr="00E744B2" w:rsidRDefault="00682123" w:rsidP="00494D93">
      <w:pPr>
        <w:spacing w:before="100" w:beforeAutospacing="1" w:after="100" w:afterAutospacing="1" w:line="240" w:lineRule="auto"/>
        <w:jc w:val="both"/>
        <w:rPr>
          <w:rFonts w:ascii="Times New Roman" w:hAnsi="Times New Roman" w:cs="Times New Roman"/>
          <w:b/>
          <w:i/>
          <w:sz w:val="24"/>
          <w:szCs w:val="24"/>
          <w:lang w:eastAsia="hu-HU"/>
        </w:rPr>
      </w:pPr>
      <w:r w:rsidRPr="00E744B2">
        <w:rPr>
          <w:rFonts w:ascii="Times New Roman" w:hAnsi="Times New Roman" w:cs="Times New Roman"/>
          <w:b/>
          <w:i/>
          <w:sz w:val="24"/>
          <w:szCs w:val="24"/>
          <w:lang w:eastAsia="hu-HU"/>
        </w:rPr>
        <w:t>Introduction</w:t>
      </w:r>
      <w:r w:rsidR="00B07E84">
        <w:rPr>
          <w:rFonts w:ascii="Times New Roman" w:hAnsi="Times New Roman" w:cs="Times New Roman"/>
          <w:b/>
          <w:i/>
          <w:sz w:val="24"/>
          <w:szCs w:val="24"/>
          <w:lang w:eastAsia="hu-HU"/>
        </w:rPr>
        <w:t xml:space="preserve"> (and a kind of “abstract”) </w:t>
      </w:r>
    </w:p>
    <w:p w:rsidR="00B57771" w:rsidRDefault="00357EFF" w:rsidP="00494D93">
      <w:pPr>
        <w:spacing w:before="100" w:beforeAutospacing="1" w:after="100" w:afterAutospacing="1" w:line="240" w:lineRule="auto"/>
        <w:jc w:val="both"/>
        <w:rPr>
          <w:rFonts w:ascii="Times New Roman" w:hAnsi="Times New Roman" w:cs="Times New Roman"/>
          <w:sz w:val="24"/>
          <w:szCs w:val="24"/>
          <w:lang w:eastAsia="hu-HU"/>
        </w:rPr>
      </w:pPr>
      <w:bookmarkStart w:id="0" w:name="_GoBack"/>
      <w:r>
        <w:rPr>
          <w:rFonts w:ascii="Times New Roman" w:hAnsi="Times New Roman" w:cs="Times New Roman"/>
          <w:sz w:val="24"/>
          <w:szCs w:val="24"/>
          <w:lang w:eastAsia="hu-HU"/>
        </w:rPr>
        <w:t xml:space="preserve">In this </w:t>
      </w:r>
      <w:r w:rsidR="00682123">
        <w:rPr>
          <w:rFonts w:ascii="Times New Roman" w:hAnsi="Times New Roman" w:cs="Times New Roman"/>
          <w:sz w:val="24"/>
          <w:szCs w:val="24"/>
          <w:lang w:eastAsia="hu-HU"/>
        </w:rPr>
        <w:t>article</w:t>
      </w:r>
      <w:r>
        <w:rPr>
          <w:rFonts w:ascii="Times New Roman" w:hAnsi="Times New Roman" w:cs="Times New Roman"/>
          <w:sz w:val="24"/>
          <w:szCs w:val="24"/>
          <w:lang w:eastAsia="hu-HU"/>
        </w:rPr>
        <w:t xml:space="preserve">, </w:t>
      </w:r>
      <w:r w:rsidR="00682123">
        <w:rPr>
          <w:rFonts w:ascii="Times New Roman" w:hAnsi="Times New Roman" w:cs="Times New Roman"/>
          <w:sz w:val="24"/>
          <w:szCs w:val="24"/>
          <w:lang w:eastAsia="hu-HU"/>
        </w:rPr>
        <w:t>a tentative analysis</w:t>
      </w:r>
      <w:r w:rsidR="0062784A">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is made </w:t>
      </w:r>
      <w:r w:rsidR="0062784A">
        <w:rPr>
          <w:rFonts w:ascii="Times New Roman" w:hAnsi="Times New Roman" w:cs="Times New Roman"/>
          <w:sz w:val="24"/>
          <w:szCs w:val="24"/>
          <w:lang w:eastAsia="hu-HU"/>
        </w:rPr>
        <w:t xml:space="preserve">of the </w:t>
      </w:r>
      <w:r w:rsidR="0062784A" w:rsidRPr="0062784A">
        <w:rPr>
          <w:rFonts w:ascii="Times New Roman" w:hAnsi="Times New Roman" w:cs="Times New Roman"/>
          <w:i/>
          <w:sz w:val="24"/>
          <w:szCs w:val="24"/>
          <w:lang w:eastAsia="hu-HU"/>
        </w:rPr>
        <w:t>RAAP v. PPI</w:t>
      </w:r>
      <w:r w:rsidR="0062784A">
        <w:rPr>
          <w:rFonts w:ascii="Times New Roman" w:hAnsi="Times New Roman" w:cs="Times New Roman"/>
          <w:sz w:val="24"/>
          <w:szCs w:val="24"/>
          <w:lang w:eastAsia="hu-HU"/>
        </w:rPr>
        <w:t xml:space="preserve"> judgment of the Court of Justice of the European Union (CJEU)</w:t>
      </w:r>
      <w:r w:rsidR="00D32529">
        <w:rPr>
          <w:rStyle w:val="Lbjegyzet-hivatkozs"/>
          <w:rFonts w:ascii="Times New Roman" w:hAnsi="Times New Roman" w:cs="Times New Roman"/>
          <w:sz w:val="24"/>
          <w:szCs w:val="24"/>
          <w:lang w:eastAsia="hu-HU"/>
        </w:rPr>
        <w:footnoteReference w:id="2"/>
      </w:r>
      <w:r w:rsidR="00D32529">
        <w:rPr>
          <w:rFonts w:ascii="Times New Roman" w:hAnsi="Times New Roman" w:cs="Times New Roman"/>
          <w:sz w:val="24"/>
          <w:szCs w:val="24"/>
          <w:lang w:eastAsia="hu-HU"/>
        </w:rPr>
        <w:t xml:space="preserve"> (hereinafter: </w:t>
      </w:r>
      <w:r w:rsidR="00D32529" w:rsidRPr="00D32529">
        <w:rPr>
          <w:rFonts w:ascii="Times New Roman" w:hAnsi="Times New Roman" w:cs="Times New Roman"/>
          <w:i/>
          <w:sz w:val="24"/>
          <w:szCs w:val="24"/>
          <w:lang w:eastAsia="hu-HU"/>
        </w:rPr>
        <w:t>RAAP</w:t>
      </w:r>
      <w:r w:rsidR="00D32529">
        <w:rPr>
          <w:rFonts w:ascii="Times New Roman" w:hAnsi="Times New Roman" w:cs="Times New Roman"/>
          <w:sz w:val="24"/>
          <w:szCs w:val="24"/>
          <w:lang w:eastAsia="hu-HU"/>
        </w:rPr>
        <w:t>)</w:t>
      </w:r>
      <w:r w:rsidR="0062784A">
        <w:rPr>
          <w:rFonts w:ascii="Times New Roman" w:hAnsi="Times New Roman" w:cs="Times New Roman"/>
          <w:sz w:val="24"/>
          <w:szCs w:val="24"/>
          <w:lang w:eastAsia="hu-HU"/>
        </w:rPr>
        <w:t xml:space="preserve">. Tentative because the </w:t>
      </w:r>
      <w:r>
        <w:rPr>
          <w:rFonts w:ascii="Times New Roman" w:hAnsi="Times New Roman" w:cs="Times New Roman"/>
          <w:sz w:val="24"/>
          <w:szCs w:val="24"/>
          <w:lang w:eastAsia="hu-HU"/>
        </w:rPr>
        <w:t xml:space="preserve">Court’s rulings are very </w:t>
      </w:r>
      <w:r w:rsidR="0062784A">
        <w:rPr>
          <w:rFonts w:ascii="Times New Roman" w:hAnsi="Times New Roman" w:cs="Times New Roman"/>
          <w:sz w:val="24"/>
          <w:szCs w:val="24"/>
          <w:lang w:eastAsia="hu-HU"/>
        </w:rPr>
        <w:t>complex</w:t>
      </w:r>
      <w:r w:rsidR="0085082F">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so much that the commentator has </w:t>
      </w:r>
      <w:r w:rsidR="0085082F">
        <w:rPr>
          <w:rFonts w:ascii="Times New Roman" w:hAnsi="Times New Roman" w:cs="Times New Roman"/>
          <w:sz w:val="24"/>
          <w:szCs w:val="24"/>
          <w:lang w:eastAsia="hu-HU"/>
        </w:rPr>
        <w:t xml:space="preserve">also </w:t>
      </w:r>
      <w:r>
        <w:rPr>
          <w:rFonts w:ascii="Times New Roman" w:hAnsi="Times New Roman" w:cs="Times New Roman"/>
          <w:sz w:val="24"/>
          <w:szCs w:val="24"/>
          <w:lang w:eastAsia="hu-HU"/>
        </w:rPr>
        <w:t xml:space="preserve">to cross a </w:t>
      </w:r>
      <w:r w:rsidR="007B775D">
        <w:rPr>
          <w:rFonts w:ascii="Times New Roman" w:hAnsi="Times New Roman" w:cs="Times New Roman"/>
          <w:sz w:val="24"/>
          <w:szCs w:val="24"/>
          <w:lang w:eastAsia="hu-HU"/>
        </w:rPr>
        <w:t>mine field of questions</w:t>
      </w:r>
      <w:r>
        <w:rPr>
          <w:rFonts w:ascii="Times New Roman" w:hAnsi="Times New Roman" w:cs="Times New Roman"/>
          <w:sz w:val="24"/>
          <w:szCs w:val="24"/>
          <w:lang w:eastAsia="hu-HU"/>
        </w:rPr>
        <w:t xml:space="preserve"> where great </w:t>
      </w:r>
      <w:r w:rsidR="007B775D">
        <w:rPr>
          <w:rFonts w:ascii="Times New Roman" w:hAnsi="Times New Roman" w:cs="Times New Roman"/>
          <w:sz w:val="24"/>
          <w:szCs w:val="24"/>
          <w:lang w:eastAsia="hu-HU"/>
        </w:rPr>
        <w:t>cautio</w:t>
      </w:r>
      <w:r>
        <w:rPr>
          <w:rFonts w:ascii="Times New Roman" w:hAnsi="Times New Roman" w:cs="Times New Roman"/>
          <w:sz w:val="24"/>
          <w:szCs w:val="24"/>
          <w:lang w:eastAsia="hu-HU"/>
        </w:rPr>
        <w:t>n is needed</w:t>
      </w:r>
      <w:r w:rsidR="007B775D">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such as w</w:t>
      </w:r>
      <w:r w:rsidR="007B775D">
        <w:rPr>
          <w:rFonts w:ascii="Times New Roman" w:hAnsi="Times New Roman" w:cs="Times New Roman"/>
          <w:sz w:val="24"/>
          <w:szCs w:val="24"/>
          <w:lang w:eastAsia="hu-HU"/>
        </w:rPr>
        <w:t xml:space="preserve">hether </w:t>
      </w:r>
      <w:r w:rsidR="00B57771">
        <w:rPr>
          <w:rFonts w:ascii="Times New Roman" w:hAnsi="Times New Roman" w:cs="Times New Roman"/>
          <w:sz w:val="24"/>
          <w:szCs w:val="24"/>
          <w:lang w:eastAsia="hu-HU"/>
        </w:rPr>
        <w:t>it might</w:t>
      </w:r>
      <w:r w:rsidR="007B775D">
        <w:rPr>
          <w:rFonts w:ascii="Times New Roman" w:hAnsi="Times New Roman" w:cs="Times New Roman"/>
          <w:sz w:val="24"/>
          <w:szCs w:val="24"/>
          <w:lang w:eastAsia="hu-HU"/>
        </w:rPr>
        <w:t xml:space="preserve"> be </w:t>
      </w:r>
      <w:r>
        <w:rPr>
          <w:rFonts w:ascii="Times New Roman" w:hAnsi="Times New Roman" w:cs="Times New Roman"/>
          <w:sz w:val="24"/>
          <w:szCs w:val="24"/>
          <w:lang w:eastAsia="hu-HU"/>
        </w:rPr>
        <w:t xml:space="preserve">the case </w:t>
      </w:r>
      <w:r w:rsidR="007B775D">
        <w:rPr>
          <w:rFonts w:ascii="Times New Roman" w:hAnsi="Times New Roman" w:cs="Times New Roman"/>
          <w:sz w:val="24"/>
          <w:szCs w:val="24"/>
          <w:lang w:eastAsia="hu-HU"/>
        </w:rPr>
        <w:t xml:space="preserve">that the Court has erred concerning certain </w:t>
      </w:r>
      <w:r w:rsidR="00B07E84">
        <w:rPr>
          <w:rFonts w:ascii="Times New Roman" w:hAnsi="Times New Roman" w:cs="Times New Roman"/>
          <w:sz w:val="24"/>
          <w:szCs w:val="24"/>
          <w:lang w:eastAsia="hu-HU"/>
        </w:rPr>
        <w:t xml:space="preserve">key </w:t>
      </w:r>
      <w:r w:rsidR="007B775D">
        <w:rPr>
          <w:rFonts w:ascii="Times New Roman" w:hAnsi="Times New Roman" w:cs="Times New Roman"/>
          <w:sz w:val="24"/>
          <w:szCs w:val="24"/>
          <w:lang w:eastAsia="hu-HU"/>
        </w:rPr>
        <w:t xml:space="preserve">aspects of the case and that it </w:t>
      </w:r>
      <w:r w:rsidR="00B07E84">
        <w:rPr>
          <w:rFonts w:ascii="Times New Roman" w:hAnsi="Times New Roman" w:cs="Times New Roman"/>
          <w:sz w:val="24"/>
          <w:szCs w:val="24"/>
          <w:lang w:eastAsia="hu-HU"/>
        </w:rPr>
        <w:t xml:space="preserve">even </w:t>
      </w:r>
      <w:r w:rsidR="007B775D">
        <w:rPr>
          <w:rFonts w:ascii="Times New Roman" w:hAnsi="Times New Roman" w:cs="Times New Roman"/>
          <w:sz w:val="24"/>
          <w:szCs w:val="24"/>
          <w:lang w:eastAsia="hu-HU"/>
        </w:rPr>
        <w:t>has stepped through the limits of the borderline</w:t>
      </w:r>
      <w:r w:rsidR="00B57771">
        <w:rPr>
          <w:rFonts w:ascii="Times New Roman" w:hAnsi="Times New Roman" w:cs="Times New Roman"/>
          <w:sz w:val="24"/>
          <w:szCs w:val="24"/>
          <w:lang w:eastAsia="hu-HU"/>
        </w:rPr>
        <w:t xml:space="preserve"> between EU and Member States competences. </w:t>
      </w:r>
      <w:r w:rsidR="007B775D">
        <w:rPr>
          <w:rFonts w:ascii="Times New Roman" w:hAnsi="Times New Roman" w:cs="Times New Roman"/>
          <w:sz w:val="24"/>
          <w:szCs w:val="24"/>
          <w:lang w:eastAsia="hu-HU"/>
        </w:rPr>
        <w:t xml:space="preserve">  </w:t>
      </w:r>
    </w:p>
    <w:p w:rsidR="00E744B2" w:rsidRDefault="00D023AB" w:rsidP="00494D93">
      <w:pPr>
        <w:spacing w:before="100" w:beforeAutospacing="1" w:after="100" w:afterAutospacing="1"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00B57771">
        <w:rPr>
          <w:rFonts w:ascii="Times New Roman" w:hAnsi="Times New Roman" w:cs="Times New Roman"/>
          <w:sz w:val="24"/>
          <w:szCs w:val="24"/>
          <w:lang w:eastAsia="hu-HU"/>
        </w:rPr>
        <w:t xml:space="preserve">The article contains </w:t>
      </w:r>
      <w:r w:rsidR="00F1606E">
        <w:rPr>
          <w:rFonts w:ascii="Times New Roman" w:hAnsi="Times New Roman" w:cs="Times New Roman"/>
          <w:sz w:val="24"/>
          <w:szCs w:val="24"/>
          <w:lang w:eastAsia="hu-HU"/>
        </w:rPr>
        <w:t xml:space="preserve">four </w:t>
      </w:r>
      <w:r w:rsidR="006A0E19">
        <w:rPr>
          <w:rFonts w:ascii="Times New Roman" w:hAnsi="Times New Roman" w:cs="Times New Roman"/>
          <w:sz w:val="24"/>
          <w:szCs w:val="24"/>
          <w:lang w:eastAsia="hu-HU"/>
        </w:rPr>
        <w:t>substantive titles</w:t>
      </w:r>
      <w:r w:rsidR="00B57771">
        <w:rPr>
          <w:rFonts w:ascii="Times New Roman" w:hAnsi="Times New Roman" w:cs="Times New Roman"/>
          <w:sz w:val="24"/>
          <w:szCs w:val="24"/>
          <w:lang w:eastAsia="hu-HU"/>
        </w:rPr>
        <w:t xml:space="preserve">. </w:t>
      </w:r>
      <w:r w:rsidR="00C236B8">
        <w:rPr>
          <w:rFonts w:ascii="Times New Roman" w:hAnsi="Times New Roman" w:cs="Times New Roman"/>
          <w:sz w:val="24"/>
          <w:szCs w:val="24"/>
          <w:lang w:eastAsia="hu-HU"/>
        </w:rPr>
        <w:t xml:space="preserve">The titles are construed in a way that they also sum up the key findings. </w:t>
      </w:r>
      <w:r w:rsidR="00E744B2">
        <w:rPr>
          <w:rFonts w:ascii="Times New Roman" w:hAnsi="Times New Roman" w:cs="Times New Roman"/>
          <w:sz w:val="24"/>
          <w:szCs w:val="24"/>
          <w:lang w:eastAsia="hu-HU"/>
        </w:rPr>
        <w:t>In this way</w:t>
      </w:r>
      <w:r w:rsidR="0085082F">
        <w:rPr>
          <w:rFonts w:ascii="Times New Roman" w:hAnsi="Times New Roman" w:cs="Times New Roman"/>
          <w:sz w:val="24"/>
          <w:szCs w:val="24"/>
          <w:lang w:eastAsia="hu-HU"/>
        </w:rPr>
        <w:t xml:space="preserve"> they</w:t>
      </w:r>
      <w:r w:rsidR="00E744B2">
        <w:rPr>
          <w:rFonts w:ascii="Times New Roman" w:hAnsi="Times New Roman" w:cs="Times New Roman"/>
          <w:sz w:val="24"/>
          <w:szCs w:val="24"/>
          <w:lang w:eastAsia="hu-HU"/>
        </w:rPr>
        <w:t>, with some comments, may also serve together as a kind of “</w:t>
      </w:r>
      <w:r w:rsidR="00B07E84">
        <w:rPr>
          <w:rFonts w:ascii="Times New Roman" w:hAnsi="Times New Roman" w:cs="Times New Roman"/>
          <w:sz w:val="24"/>
          <w:szCs w:val="24"/>
          <w:lang w:eastAsia="hu-HU"/>
        </w:rPr>
        <w:t>abstract</w:t>
      </w:r>
      <w:r w:rsidR="00E744B2">
        <w:rPr>
          <w:rFonts w:ascii="Times New Roman" w:hAnsi="Times New Roman" w:cs="Times New Roman"/>
          <w:sz w:val="24"/>
          <w:szCs w:val="24"/>
          <w:lang w:eastAsia="hu-HU"/>
        </w:rPr>
        <w:t xml:space="preserve">”.  </w:t>
      </w:r>
    </w:p>
    <w:p w:rsidR="00E744B2" w:rsidRPr="00E744B2" w:rsidRDefault="001079AF" w:rsidP="00E744B2">
      <w:pPr>
        <w:spacing w:before="100" w:beforeAutospacing="1" w:after="100" w:afterAutospacing="1" w:line="240" w:lineRule="auto"/>
        <w:jc w:val="both"/>
        <w:rPr>
          <w:rFonts w:ascii="Times New Roman" w:hAnsi="Times New Roman" w:cs="Times New Roman"/>
          <w:b/>
          <w:i/>
          <w:sz w:val="24"/>
          <w:szCs w:val="24"/>
          <w:lang w:eastAsia="hu-HU"/>
        </w:rPr>
      </w:pPr>
      <w:r>
        <w:rPr>
          <w:rFonts w:ascii="Times New Roman" w:hAnsi="Times New Roman" w:cs="Times New Roman"/>
          <w:sz w:val="24"/>
          <w:szCs w:val="24"/>
          <w:lang w:eastAsia="hu-HU"/>
        </w:rPr>
        <w:t xml:space="preserve">   </w:t>
      </w:r>
      <w:r w:rsidR="00E744B2">
        <w:rPr>
          <w:rFonts w:ascii="Times New Roman" w:hAnsi="Times New Roman" w:cs="Times New Roman"/>
          <w:sz w:val="24"/>
          <w:szCs w:val="24"/>
          <w:lang w:eastAsia="hu-HU"/>
        </w:rPr>
        <w:t xml:space="preserve">The first title is </w:t>
      </w:r>
      <w:r w:rsidR="00E744B2" w:rsidRPr="001079AF">
        <w:rPr>
          <w:rFonts w:ascii="Times New Roman" w:hAnsi="Times New Roman" w:cs="Times New Roman"/>
          <w:sz w:val="24"/>
          <w:szCs w:val="24"/>
          <w:lang w:eastAsia="hu-HU"/>
        </w:rPr>
        <w:t>this: “</w:t>
      </w:r>
      <w:r w:rsidR="00E744B2" w:rsidRPr="001079AF">
        <w:rPr>
          <w:rFonts w:ascii="Times New Roman" w:hAnsi="Times New Roman" w:cs="Times New Roman"/>
          <w:i/>
          <w:sz w:val="24"/>
          <w:szCs w:val="24"/>
          <w:lang w:eastAsia="hu-HU"/>
        </w:rPr>
        <w:t>Certain</w:t>
      </w:r>
      <w:r w:rsidRPr="001079AF">
        <w:rPr>
          <w:rFonts w:ascii="Times New Roman" w:hAnsi="Times New Roman" w:cs="Times New Roman"/>
          <w:i/>
          <w:sz w:val="24"/>
          <w:szCs w:val="24"/>
          <w:lang w:eastAsia="hu-HU"/>
        </w:rPr>
        <w:t xml:space="preserve"> </w:t>
      </w:r>
      <w:r w:rsidR="00E744B2" w:rsidRPr="001079AF">
        <w:rPr>
          <w:rFonts w:ascii="Times New Roman" w:hAnsi="Times New Roman" w:cs="Times New Roman"/>
          <w:i/>
          <w:sz w:val="24"/>
          <w:szCs w:val="24"/>
          <w:lang w:eastAsia="hu-HU"/>
        </w:rPr>
        <w:t>rulings in RAAP are responses to preliminary questions that boil down to asking the Court whether or not the text of the relevant international, EU and national norms truly read in the way they obviously do</w:t>
      </w:r>
      <w:r w:rsidRPr="001079AF">
        <w:rPr>
          <w:rFonts w:ascii="Times New Roman" w:hAnsi="Times New Roman" w:cs="Times New Roman"/>
          <w:sz w:val="24"/>
          <w:szCs w:val="24"/>
          <w:lang w:eastAsia="hu-HU"/>
        </w:rPr>
        <w:t>”</w:t>
      </w:r>
      <w:r w:rsidR="00665177">
        <w:rPr>
          <w:rFonts w:ascii="Times New Roman" w:hAnsi="Times New Roman" w:cs="Times New Roman"/>
          <w:sz w:val="24"/>
          <w:szCs w:val="24"/>
          <w:lang w:eastAsia="hu-HU"/>
        </w:rPr>
        <w:t xml:space="preserve"> (“the obvious”)</w:t>
      </w:r>
      <w:r w:rsidR="00E744B2" w:rsidRPr="001079AF">
        <w:rPr>
          <w:rFonts w:ascii="Times New Roman" w:hAnsi="Times New Roman" w:cs="Times New Roman"/>
          <w:sz w:val="24"/>
          <w:szCs w:val="24"/>
          <w:lang w:eastAsia="hu-HU"/>
        </w:rPr>
        <w:t>.</w:t>
      </w:r>
      <w:r w:rsidR="00E744B2">
        <w:rPr>
          <w:rFonts w:ascii="Times New Roman" w:hAnsi="Times New Roman" w:cs="Times New Roman"/>
          <w:b/>
          <w:sz w:val="24"/>
          <w:szCs w:val="24"/>
          <w:lang w:eastAsia="hu-HU"/>
        </w:rPr>
        <w:t xml:space="preserve"> </w:t>
      </w:r>
      <w:r w:rsidR="005F5E24" w:rsidRPr="005F5E24">
        <w:rPr>
          <w:rFonts w:ascii="Times New Roman" w:hAnsi="Times New Roman" w:cs="Times New Roman"/>
          <w:sz w:val="24"/>
          <w:szCs w:val="24"/>
          <w:lang w:eastAsia="hu-HU"/>
        </w:rPr>
        <w:t>Th</w:t>
      </w:r>
      <w:r w:rsidR="00665177">
        <w:rPr>
          <w:rFonts w:ascii="Times New Roman" w:hAnsi="Times New Roman" w:cs="Times New Roman"/>
          <w:sz w:val="24"/>
          <w:szCs w:val="24"/>
          <w:lang w:eastAsia="hu-HU"/>
        </w:rPr>
        <w:t xml:space="preserve">is is reference to </w:t>
      </w:r>
      <w:r>
        <w:rPr>
          <w:rFonts w:ascii="Times New Roman" w:hAnsi="Times New Roman" w:cs="Times New Roman"/>
          <w:sz w:val="24"/>
          <w:szCs w:val="24"/>
          <w:lang w:eastAsia="hu-HU"/>
        </w:rPr>
        <w:t xml:space="preserve">point 1 </w:t>
      </w:r>
      <w:r w:rsidR="00665177">
        <w:rPr>
          <w:rFonts w:ascii="Times New Roman" w:hAnsi="Times New Roman" w:cs="Times New Roman"/>
          <w:sz w:val="24"/>
          <w:szCs w:val="24"/>
          <w:lang w:eastAsia="hu-HU"/>
        </w:rPr>
        <w:t xml:space="preserve">(if it is </w:t>
      </w:r>
      <w:r>
        <w:rPr>
          <w:rFonts w:ascii="Times New Roman" w:hAnsi="Times New Roman" w:cs="Times New Roman"/>
          <w:sz w:val="24"/>
          <w:szCs w:val="24"/>
          <w:lang w:eastAsia="hu-HU"/>
        </w:rPr>
        <w:t>read alone</w:t>
      </w:r>
      <w:r w:rsidR="00665177">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and in particular </w:t>
      </w:r>
      <w:r w:rsidR="00B07E84">
        <w:rPr>
          <w:rFonts w:ascii="Times New Roman" w:hAnsi="Times New Roman" w:cs="Times New Roman"/>
          <w:sz w:val="24"/>
          <w:szCs w:val="24"/>
          <w:lang w:eastAsia="hu-HU"/>
        </w:rPr>
        <w:t xml:space="preserve">to </w:t>
      </w:r>
      <w:r>
        <w:rPr>
          <w:rFonts w:ascii="Times New Roman" w:hAnsi="Times New Roman" w:cs="Times New Roman"/>
          <w:sz w:val="24"/>
          <w:szCs w:val="24"/>
          <w:lang w:eastAsia="hu-HU"/>
        </w:rPr>
        <w:t>point 3</w:t>
      </w:r>
      <w:r w:rsidR="00B07E84">
        <w:rPr>
          <w:rFonts w:ascii="Times New Roman" w:hAnsi="Times New Roman" w:cs="Times New Roman"/>
          <w:sz w:val="24"/>
          <w:szCs w:val="24"/>
          <w:lang w:eastAsia="hu-HU"/>
        </w:rPr>
        <w:t>,</w:t>
      </w:r>
      <w:r>
        <w:rPr>
          <w:rFonts w:ascii="Times New Roman" w:hAnsi="Times New Roman" w:cs="Times New Roman"/>
          <w:sz w:val="24"/>
          <w:szCs w:val="24"/>
          <w:lang w:eastAsia="hu-HU"/>
        </w:rPr>
        <w:t xml:space="preserve"> of the ruling</w:t>
      </w:r>
      <w:r w:rsidR="00665177">
        <w:rPr>
          <w:rFonts w:ascii="Times New Roman" w:hAnsi="Times New Roman" w:cs="Times New Roman"/>
          <w:sz w:val="24"/>
          <w:szCs w:val="24"/>
          <w:lang w:eastAsia="hu-HU"/>
        </w:rPr>
        <w:t>s</w:t>
      </w:r>
      <w:r>
        <w:rPr>
          <w:rFonts w:ascii="Times New Roman" w:hAnsi="Times New Roman" w:cs="Times New Roman"/>
          <w:sz w:val="24"/>
          <w:szCs w:val="24"/>
          <w:lang w:eastAsia="hu-HU"/>
        </w:rPr>
        <w:t xml:space="preserve">.  </w:t>
      </w:r>
      <w:r w:rsidR="005F5E24">
        <w:rPr>
          <w:rFonts w:ascii="Times New Roman" w:hAnsi="Times New Roman" w:cs="Times New Roman"/>
          <w:b/>
          <w:sz w:val="24"/>
          <w:szCs w:val="24"/>
          <w:lang w:eastAsia="hu-HU"/>
        </w:rPr>
        <w:t xml:space="preserve"> </w:t>
      </w:r>
      <w:r w:rsidR="00E744B2" w:rsidRPr="00E744B2">
        <w:rPr>
          <w:rFonts w:ascii="Times New Roman" w:hAnsi="Times New Roman" w:cs="Times New Roman"/>
          <w:b/>
          <w:i/>
          <w:sz w:val="24"/>
          <w:szCs w:val="24"/>
          <w:lang w:eastAsia="hu-HU"/>
        </w:rPr>
        <w:t xml:space="preserve"> </w:t>
      </w:r>
    </w:p>
    <w:p w:rsidR="00F1606E" w:rsidRDefault="00D023AB" w:rsidP="00494D93">
      <w:pPr>
        <w:spacing w:before="100" w:beforeAutospacing="1" w:after="100" w:afterAutospacing="1"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r w:rsidR="001079AF">
        <w:rPr>
          <w:rFonts w:ascii="Times New Roman" w:hAnsi="Times New Roman" w:cs="Times New Roman"/>
          <w:sz w:val="24"/>
          <w:szCs w:val="24"/>
          <w:lang w:eastAsia="hu-HU"/>
        </w:rPr>
        <w:t xml:space="preserve">The second title reads as follows: </w:t>
      </w:r>
      <w:r w:rsidR="002E3219" w:rsidRPr="002E3219">
        <w:rPr>
          <w:rFonts w:ascii="Times New Roman" w:hAnsi="Times New Roman" w:cs="Times New Roman"/>
          <w:i/>
          <w:sz w:val="24"/>
          <w:szCs w:val="24"/>
          <w:lang w:eastAsia="hu-HU"/>
        </w:rPr>
        <w:t>“</w:t>
      </w:r>
      <w:r w:rsidR="002E3219" w:rsidRPr="002E3219">
        <w:rPr>
          <w:rFonts w:ascii="Times New Roman" w:eastAsia="Times New Roman" w:hAnsi="Times New Roman" w:cs="Times New Roman"/>
          <w:i/>
          <w:sz w:val="24"/>
          <w:szCs w:val="24"/>
        </w:rPr>
        <w:t xml:space="preserve">There are certain conflicts of the Irish law and the PPI’s practice with the international and EU norms </w:t>
      </w:r>
      <w:r w:rsidR="00665177">
        <w:rPr>
          <w:rFonts w:ascii="Times New Roman" w:eastAsia="Times New Roman" w:hAnsi="Times New Roman" w:cs="Times New Roman"/>
          <w:i/>
          <w:sz w:val="24"/>
          <w:szCs w:val="24"/>
        </w:rPr>
        <w:t xml:space="preserve">that are </w:t>
      </w:r>
      <w:r w:rsidR="002E3219" w:rsidRPr="002E3219">
        <w:rPr>
          <w:rFonts w:ascii="Times New Roman" w:eastAsia="Times New Roman" w:hAnsi="Times New Roman" w:cs="Times New Roman"/>
          <w:i/>
          <w:sz w:val="24"/>
          <w:szCs w:val="24"/>
        </w:rPr>
        <w:t>not touched upon either in the preliminary questions or in the CJEU judgement</w:t>
      </w:r>
      <w:r w:rsidR="002E3219" w:rsidRPr="002E3219">
        <w:rPr>
          <w:rFonts w:ascii="Times New Roman" w:eastAsia="Times New Roman" w:hAnsi="Times New Roman" w:cs="Times New Roman"/>
          <w:sz w:val="24"/>
          <w:szCs w:val="24"/>
        </w:rPr>
        <w:t>”</w:t>
      </w:r>
      <w:r w:rsidR="002E3219" w:rsidRPr="002E3219">
        <w:rPr>
          <w:rFonts w:ascii="Times New Roman" w:eastAsia="Times New Roman" w:hAnsi="Times New Roman" w:cs="Times New Roman"/>
          <w:b/>
          <w:sz w:val="24"/>
          <w:szCs w:val="24"/>
        </w:rPr>
        <w:t xml:space="preserve"> </w:t>
      </w:r>
      <w:r w:rsidR="00665177" w:rsidRPr="00665177">
        <w:rPr>
          <w:rFonts w:ascii="Times New Roman" w:eastAsia="Times New Roman" w:hAnsi="Times New Roman" w:cs="Times New Roman"/>
          <w:sz w:val="24"/>
          <w:szCs w:val="24"/>
        </w:rPr>
        <w:t>(“the missing”).</w:t>
      </w:r>
      <w:r w:rsidR="00665177">
        <w:rPr>
          <w:rFonts w:ascii="Times New Roman" w:eastAsia="Times New Roman" w:hAnsi="Times New Roman" w:cs="Times New Roman"/>
          <w:b/>
          <w:sz w:val="24"/>
          <w:szCs w:val="24"/>
        </w:rPr>
        <w:t xml:space="preserve"> </w:t>
      </w:r>
      <w:r w:rsidR="0095195D" w:rsidRPr="0095195D">
        <w:rPr>
          <w:rFonts w:ascii="Times New Roman" w:eastAsia="Times New Roman" w:hAnsi="Times New Roman" w:cs="Times New Roman"/>
          <w:sz w:val="24"/>
          <w:szCs w:val="24"/>
        </w:rPr>
        <w:t>The most basic</w:t>
      </w:r>
      <w:r w:rsidR="0095195D">
        <w:rPr>
          <w:rFonts w:ascii="Times New Roman" w:eastAsia="Times New Roman" w:hAnsi="Times New Roman" w:cs="Times New Roman"/>
          <w:b/>
          <w:sz w:val="24"/>
          <w:szCs w:val="24"/>
        </w:rPr>
        <w:t xml:space="preserve"> </w:t>
      </w:r>
      <w:r w:rsidR="0095195D">
        <w:rPr>
          <w:rFonts w:ascii="Times New Roman" w:eastAsia="Times New Roman" w:hAnsi="Times New Roman" w:cs="Times New Roman"/>
          <w:sz w:val="24"/>
          <w:szCs w:val="24"/>
        </w:rPr>
        <w:t>conflict of the Irish Copyright and Related Rights Act (CRRA) with the international and EU norms is that, while</w:t>
      </w:r>
      <w:r w:rsidR="00665177">
        <w:rPr>
          <w:rFonts w:ascii="Times New Roman" w:eastAsia="Times New Roman" w:hAnsi="Times New Roman" w:cs="Times New Roman"/>
          <w:sz w:val="24"/>
          <w:szCs w:val="24"/>
        </w:rPr>
        <w:t xml:space="preserve"> – </w:t>
      </w:r>
      <w:r w:rsidR="0095195D">
        <w:rPr>
          <w:rFonts w:ascii="Times New Roman" w:eastAsia="Times New Roman" w:hAnsi="Times New Roman" w:cs="Times New Roman"/>
          <w:sz w:val="24"/>
          <w:szCs w:val="24"/>
        </w:rPr>
        <w:t xml:space="preserve"> under</w:t>
      </w:r>
      <w:r w:rsidR="002E3219">
        <w:rPr>
          <w:rFonts w:ascii="Times New Roman" w:eastAsia="Times New Roman" w:hAnsi="Times New Roman" w:cs="Times New Roman"/>
          <w:sz w:val="24"/>
          <w:szCs w:val="24"/>
        </w:rPr>
        <w:t xml:space="preserve"> both Article 15 of the WPPT and Article 8 of the Rental, Lending and Related Rights Directive</w:t>
      </w:r>
      <w:r w:rsidR="00665177">
        <w:rPr>
          <w:rFonts w:ascii="Times New Roman" w:eastAsia="Times New Roman" w:hAnsi="Times New Roman" w:cs="Times New Roman"/>
          <w:sz w:val="24"/>
          <w:szCs w:val="24"/>
        </w:rPr>
        <w:t xml:space="preserve"> </w:t>
      </w:r>
      <w:r w:rsidR="00665177" w:rsidRPr="00665177">
        <w:rPr>
          <w:rFonts w:ascii="Times New Roman" w:eastAsia="Times New Roman" w:hAnsi="Times New Roman" w:cs="Times New Roman"/>
          <w:sz w:val="24"/>
          <w:szCs w:val="24"/>
        </w:rPr>
        <w:t xml:space="preserve">(Directive </w:t>
      </w:r>
      <w:r w:rsidR="00665177" w:rsidRPr="00665177">
        <w:rPr>
          <w:rFonts w:ascii="Times New Roman" w:eastAsia="Times New Roman" w:hAnsi="Times New Roman" w:cs="Times New Roman"/>
          <w:bCs/>
          <w:sz w:val="24"/>
          <w:szCs w:val="24"/>
        </w:rPr>
        <w:t>2006/115/EC</w:t>
      </w:r>
      <w:r w:rsidR="00665177" w:rsidRPr="00665177">
        <w:rPr>
          <w:rFonts w:ascii="Times New Roman" w:eastAsia="Times New Roman" w:hAnsi="Times New Roman" w:cs="Times New Roman"/>
          <w:sz w:val="24"/>
          <w:szCs w:val="24"/>
        </w:rPr>
        <w:t>)</w:t>
      </w:r>
      <w:r w:rsidR="00665177">
        <w:rPr>
          <w:rFonts w:ascii="Times New Roman" w:eastAsia="Times New Roman" w:hAnsi="Times New Roman" w:cs="Times New Roman"/>
          <w:sz w:val="24"/>
          <w:szCs w:val="24"/>
        </w:rPr>
        <w:t xml:space="preserve"> – </w:t>
      </w:r>
      <w:r w:rsidR="0095195D">
        <w:rPr>
          <w:rFonts w:ascii="Times New Roman" w:eastAsia="Times New Roman" w:hAnsi="Times New Roman" w:cs="Times New Roman"/>
          <w:sz w:val="24"/>
          <w:szCs w:val="24"/>
        </w:rPr>
        <w:t xml:space="preserve">the right to </w:t>
      </w:r>
      <w:r w:rsidR="0085082F">
        <w:rPr>
          <w:rFonts w:ascii="Times New Roman" w:eastAsia="Times New Roman" w:hAnsi="Times New Roman" w:cs="Times New Roman"/>
          <w:sz w:val="24"/>
          <w:szCs w:val="24"/>
        </w:rPr>
        <w:t xml:space="preserve">a </w:t>
      </w:r>
      <w:r w:rsidR="0085082F" w:rsidRPr="0085082F">
        <w:rPr>
          <w:rFonts w:ascii="Times New Roman" w:eastAsia="Times New Roman" w:hAnsi="Times New Roman" w:cs="Times New Roman"/>
          <w:i/>
          <w:sz w:val="24"/>
          <w:szCs w:val="24"/>
        </w:rPr>
        <w:t>single</w:t>
      </w:r>
      <w:r w:rsidR="0085082F">
        <w:rPr>
          <w:rFonts w:ascii="Times New Roman" w:eastAsia="Times New Roman" w:hAnsi="Times New Roman" w:cs="Times New Roman"/>
          <w:sz w:val="24"/>
          <w:szCs w:val="24"/>
        </w:rPr>
        <w:t xml:space="preserve"> </w:t>
      </w:r>
      <w:r w:rsidR="002E3219">
        <w:rPr>
          <w:rFonts w:ascii="Times New Roman" w:eastAsia="Times New Roman" w:hAnsi="Times New Roman" w:cs="Times New Roman"/>
          <w:sz w:val="24"/>
          <w:szCs w:val="24"/>
        </w:rPr>
        <w:t xml:space="preserve">equitable remuneration </w:t>
      </w:r>
      <w:r w:rsidR="0095195D">
        <w:rPr>
          <w:rFonts w:ascii="Times New Roman" w:eastAsia="Times New Roman" w:hAnsi="Times New Roman" w:cs="Times New Roman"/>
          <w:sz w:val="24"/>
          <w:szCs w:val="24"/>
        </w:rPr>
        <w:t xml:space="preserve">of performers and producers of phonograms </w:t>
      </w:r>
      <w:r w:rsidR="0095195D" w:rsidRPr="0085082F">
        <w:rPr>
          <w:rFonts w:ascii="Times New Roman" w:eastAsia="Times New Roman" w:hAnsi="Times New Roman" w:cs="Times New Roman"/>
          <w:i/>
          <w:sz w:val="24"/>
          <w:szCs w:val="24"/>
        </w:rPr>
        <w:t>to be paid by the users</w:t>
      </w:r>
      <w:r w:rsidR="0095195D">
        <w:rPr>
          <w:rFonts w:ascii="Times New Roman" w:eastAsia="Times New Roman" w:hAnsi="Times New Roman" w:cs="Times New Roman"/>
          <w:sz w:val="24"/>
          <w:szCs w:val="24"/>
        </w:rPr>
        <w:t xml:space="preserve">, Article </w:t>
      </w:r>
      <w:r w:rsidR="00665177">
        <w:rPr>
          <w:rFonts w:ascii="Times New Roman" w:eastAsia="Times New Roman" w:hAnsi="Times New Roman" w:cs="Times New Roman"/>
          <w:sz w:val="24"/>
          <w:szCs w:val="24"/>
        </w:rPr>
        <w:t>208(1) of the CRRA provides that “[a</w:t>
      </w:r>
      <w:r w:rsidR="00665177" w:rsidRPr="00665177">
        <w:rPr>
          <w:rFonts w:ascii="Times New Roman" w:eastAsia="Times New Roman" w:hAnsi="Times New Roman" w:cs="Times New Roman"/>
          <w:sz w:val="24"/>
          <w:szCs w:val="24"/>
        </w:rPr>
        <w:t xml:space="preserve">] performer has a right to equitable remuneration </w:t>
      </w:r>
      <w:r w:rsidR="00665177" w:rsidRPr="00665177">
        <w:rPr>
          <w:rFonts w:ascii="Times New Roman" w:eastAsia="Times New Roman" w:hAnsi="Times New Roman" w:cs="Times New Roman"/>
          <w:i/>
          <w:sz w:val="24"/>
          <w:szCs w:val="24"/>
        </w:rPr>
        <w:t>from</w:t>
      </w:r>
      <w:r w:rsidR="00665177">
        <w:rPr>
          <w:rFonts w:ascii="Times New Roman" w:eastAsia="Times New Roman" w:hAnsi="Times New Roman" w:cs="Times New Roman"/>
          <w:i/>
          <w:sz w:val="24"/>
          <w:szCs w:val="24"/>
        </w:rPr>
        <w:t xml:space="preserve"> the owner of the copyright in a sound recording</w:t>
      </w:r>
      <w:r w:rsidR="00665177">
        <w:rPr>
          <w:rFonts w:ascii="Times New Roman" w:eastAsia="Times New Roman" w:hAnsi="Times New Roman" w:cs="Times New Roman"/>
          <w:sz w:val="24"/>
          <w:szCs w:val="24"/>
        </w:rPr>
        <w:t xml:space="preserve">.” </w:t>
      </w:r>
      <w:r w:rsidR="00906BB3">
        <w:rPr>
          <w:rFonts w:ascii="Times New Roman" w:eastAsia="Times New Roman" w:hAnsi="Times New Roman" w:cs="Times New Roman"/>
          <w:sz w:val="24"/>
          <w:szCs w:val="24"/>
        </w:rPr>
        <w:t xml:space="preserve">PPI </w:t>
      </w:r>
      <w:r w:rsidR="0085082F">
        <w:rPr>
          <w:rFonts w:ascii="Times New Roman" w:eastAsia="Times New Roman" w:hAnsi="Times New Roman" w:cs="Times New Roman"/>
          <w:sz w:val="24"/>
          <w:szCs w:val="24"/>
        </w:rPr>
        <w:t>seem</w:t>
      </w:r>
      <w:r w:rsidR="00185EF4">
        <w:rPr>
          <w:rFonts w:ascii="Times New Roman" w:eastAsia="Times New Roman" w:hAnsi="Times New Roman" w:cs="Times New Roman"/>
          <w:sz w:val="24"/>
          <w:szCs w:val="24"/>
        </w:rPr>
        <w:t xml:space="preserve">ed to base its practice on this provision </w:t>
      </w:r>
      <w:r w:rsidR="00906BB3">
        <w:rPr>
          <w:rFonts w:ascii="Times New Roman" w:eastAsia="Times New Roman" w:hAnsi="Times New Roman" w:cs="Times New Roman"/>
          <w:sz w:val="24"/>
          <w:szCs w:val="24"/>
        </w:rPr>
        <w:t>to reduce the role of RAAP to a mere counter to pay the remuneration to those performers to whom PPI ha</w:t>
      </w:r>
      <w:r w:rsidR="00185EF4">
        <w:rPr>
          <w:rFonts w:ascii="Times New Roman" w:eastAsia="Times New Roman" w:hAnsi="Times New Roman" w:cs="Times New Roman"/>
          <w:sz w:val="24"/>
          <w:szCs w:val="24"/>
        </w:rPr>
        <w:t>d</w:t>
      </w:r>
      <w:r w:rsidR="00906BB3">
        <w:rPr>
          <w:rFonts w:ascii="Times New Roman" w:eastAsia="Times New Roman" w:hAnsi="Times New Roman" w:cs="Times New Roman"/>
          <w:sz w:val="24"/>
          <w:szCs w:val="24"/>
        </w:rPr>
        <w:t xml:space="preserve"> distributed it.           </w:t>
      </w:r>
      <w:r w:rsidR="00665177">
        <w:rPr>
          <w:rFonts w:ascii="Times New Roman" w:eastAsia="Times New Roman" w:hAnsi="Times New Roman" w:cs="Times New Roman"/>
          <w:sz w:val="24"/>
          <w:szCs w:val="24"/>
        </w:rPr>
        <w:t xml:space="preserve"> </w:t>
      </w:r>
      <w:r w:rsidR="0095195D">
        <w:rPr>
          <w:rFonts w:ascii="Times New Roman" w:eastAsia="Times New Roman" w:hAnsi="Times New Roman" w:cs="Times New Roman"/>
          <w:sz w:val="24"/>
          <w:szCs w:val="24"/>
        </w:rPr>
        <w:t xml:space="preserve"> </w:t>
      </w:r>
      <w:r w:rsidR="002E3219">
        <w:rPr>
          <w:rFonts w:ascii="Times New Roman" w:eastAsia="Times New Roman" w:hAnsi="Times New Roman" w:cs="Times New Roman"/>
          <w:sz w:val="24"/>
          <w:szCs w:val="24"/>
        </w:rPr>
        <w:t xml:space="preserve">   </w:t>
      </w:r>
    </w:p>
    <w:p w:rsidR="00AD0E6B" w:rsidRDefault="00D023AB" w:rsidP="00AD0E6B">
      <w:pPr>
        <w:spacing w:after="0" w:line="240" w:lineRule="auto"/>
        <w:jc w:val="both"/>
        <w:rPr>
          <w:rStyle w:val="AlcmChar"/>
          <w:rFonts w:ascii="Times New Roman" w:eastAsiaTheme="minorEastAsia" w:hAnsi="Times New Roman"/>
          <w:lang w:val="en-US"/>
        </w:rPr>
      </w:pPr>
      <w:r>
        <w:rPr>
          <w:rFonts w:ascii="Times New Roman" w:hAnsi="Times New Roman" w:cs="Times New Roman"/>
          <w:sz w:val="24"/>
          <w:szCs w:val="24"/>
          <w:lang w:eastAsia="hu-HU"/>
        </w:rPr>
        <w:t xml:space="preserve">   </w:t>
      </w:r>
      <w:r w:rsidR="00F1606E">
        <w:rPr>
          <w:rFonts w:ascii="Times New Roman" w:hAnsi="Times New Roman" w:cs="Times New Roman"/>
          <w:sz w:val="24"/>
          <w:szCs w:val="24"/>
          <w:lang w:eastAsia="hu-HU"/>
        </w:rPr>
        <w:t xml:space="preserve">It is </w:t>
      </w:r>
      <w:r>
        <w:rPr>
          <w:rFonts w:ascii="Times New Roman" w:hAnsi="Times New Roman" w:cs="Times New Roman"/>
          <w:sz w:val="24"/>
          <w:szCs w:val="24"/>
          <w:lang w:eastAsia="hu-HU"/>
        </w:rPr>
        <w:t xml:space="preserve">the </w:t>
      </w:r>
      <w:r w:rsidR="00F1606E">
        <w:rPr>
          <w:rFonts w:ascii="Times New Roman" w:hAnsi="Times New Roman" w:cs="Times New Roman"/>
          <w:sz w:val="24"/>
          <w:szCs w:val="24"/>
          <w:lang w:eastAsia="hu-HU"/>
        </w:rPr>
        <w:t xml:space="preserve">third </w:t>
      </w:r>
      <w:r w:rsidR="006B7D89">
        <w:rPr>
          <w:rFonts w:ascii="Times New Roman" w:hAnsi="Times New Roman" w:cs="Times New Roman"/>
          <w:sz w:val="24"/>
          <w:szCs w:val="24"/>
          <w:lang w:eastAsia="hu-HU"/>
        </w:rPr>
        <w:t xml:space="preserve">title </w:t>
      </w:r>
      <w:r w:rsidR="00460469">
        <w:rPr>
          <w:rFonts w:ascii="Times New Roman" w:hAnsi="Times New Roman" w:cs="Times New Roman"/>
          <w:sz w:val="24"/>
          <w:szCs w:val="24"/>
          <w:lang w:eastAsia="hu-HU"/>
        </w:rPr>
        <w:t xml:space="preserve">where the commentator needs great caution </w:t>
      </w:r>
      <w:r w:rsidR="00B07E84">
        <w:rPr>
          <w:rFonts w:ascii="Times New Roman" w:hAnsi="Times New Roman" w:cs="Times New Roman"/>
          <w:sz w:val="24"/>
          <w:szCs w:val="24"/>
          <w:lang w:eastAsia="hu-HU"/>
        </w:rPr>
        <w:t xml:space="preserve">to address </w:t>
      </w:r>
      <w:r w:rsidR="00185EF4">
        <w:rPr>
          <w:rFonts w:ascii="Times New Roman" w:hAnsi="Times New Roman" w:cs="Times New Roman"/>
          <w:sz w:val="24"/>
          <w:szCs w:val="24"/>
          <w:lang w:eastAsia="hu-HU"/>
        </w:rPr>
        <w:t xml:space="preserve">certain </w:t>
      </w:r>
      <w:r w:rsidR="00460469">
        <w:rPr>
          <w:rFonts w:ascii="Times New Roman" w:hAnsi="Times New Roman" w:cs="Times New Roman"/>
          <w:sz w:val="24"/>
          <w:szCs w:val="24"/>
          <w:lang w:eastAsia="hu-HU"/>
        </w:rPr>
        <w:t>delicate issues</w:t>
      </w:r>
      <w:r w:rsidR="00B07E84">
        <w:rPr>
          <w:rFonts w:ascii="Times New Roman" w:hAnsi="Times New Roman" w:cs="Times New Roman"/>
          <w:sz w:val="24"/>
          <w:szCs w:val="24"/>
          <w:lang w:eastAsia="hu-HU"/>
        </w:rPr>
        <w:t>. Nevertheless, under this title, this is opinion is presented</w:t>
      </w:r>
      <w:r w:rsidR="00AD0E6B">
        <w:rPr>
          <w:rFonts w:ascii="Times New Roman" w:hAnsi="Times New Roman" w:cs="Times New Roman"/>
          <w:sz w:val="24"/>
          <w:szCs w:val="24"/>
          <w:lang w:eastAsia="hu-HU"/>
        </w:rPr>
        <w:t>: “</w:t>
      </w:r>
      <w:r w:rsidR="00AD0E6B">
        <w:rPr>
          <w:rFonts w:ascii="Times New Roman" w:hAnsi="Times New Roman" w:cs="Times New Roman"/>
          <w:i/>
          <w:sz w:val="24"/>
          <w:szCs w:val="24"/>
          <w:lang w:eastAsia="hu-HU"/>
        </w:rPr>
        <w:t xml:space="preserve">With due respect, </w:t>
      </w:r>
      <w:r w:rsidR="0082008E">
        <w:rPr>
          <w:rFonts w:ascii="Times New Roman" w:hAnsi="Times New Roman" w:cs="Times New Roman"/>
          <w:i/>
          <w:sz w:val="24"/>
          <w:szCs w:val="24"/>
          <w:lang w:eastAsia="hu-HU"/>
        </w:rPr>
        <w:t xml:space="preserve">it </w:t>
      </w:r>
      <w:r w:rsidR="00C004E3">
        <w:rPr>
          <w:rFonts w:ascii="Times New Roman" w:hAnsi="Times New Roman" w:cs="Times New Roman"/>
          <w:i/>
          <w:sz w:val="24"/>
          <w:szCs w:val="24"/>
          <w:lang w:eastAsia="hu-HU"/>
        </w:rPr>
        <w:t xml:space="preserve">is regrettable that </w:t>
      </w:r>
      <w:r w:rsidR="0082008E">
        <w:rPr>
          <w:rFonts w:ascii="Times New Roman" w:hAnsi="Times New Roman" w:cs="Times New Roman"/>
          <w:i/>
          <w:sz w:val="24"/>
          <w:szCs w:val="24"/>
          <w:lang w:eastAsia="hu-HU"/>
        </w:rPr>
        <w:t xml:space="preserve">seems </w:t>
      </w:r>
      <w:r w:rsidR="00AD0E6B" w:rsidRPr="00AD0E6B">
        <w:rPr>
          <w:rStyle w:val="AlcmChar"/>
          <w:rFonts w:ascii="Times New Roman" w:eastAsiaTheme="minorEastAsia" w:hAnsi="Times New Roman"/>
          <w:i/>
          <w:lang w:val="en-US"/>
        </w:rPr>
        <w:t xml:space="preserve">that </w:t>
      </w:r>
      <w:r w:rsidR="0082008E">
        <w:rPr>
          <w:rStyle w:val="AlcmChar"/>
          <w:rFonts w:ascii="Times New Roman" w:eastAsiaTheme="minorEastAsia" w:hAnsi="Times New Roman"/>
          <w:i/>
          <w:lang w:val="en-US"/>
        </w:rPr>
        <w:t xml:space="preserve">the </w:t>
      </w:r>
      <w:r w:rsidR="00AD0E6B" w:rsidRPr="00AD0E6B">
        <w:rPr>
          <w:rStyle w:val="AlcmChar"/>
          <w:rFonts w:ascii="Times New Roman" w:eastAsiaTheme="minorEastAsia" w:hAnsi="Times New Roman"/>
          <w:i/>
          <w:lang w:val="en-US"/>
        </w:rPr>
        <w:t xml:space="preserve">CJEU’s ruling on the obligation to apply the right provided in Article 8 of Directive </w:t>
      </w:r>
      <w:r w:rsidR="00752C6B" w:rsidRPr="00752C6B">
        <w:rPr>
          <w:rFonts w:ascii="Times New Roman" w:eastAsia="Times New Roman" w:hAnsi="Times New Roman" w:cs="Times New Roman"/>
          <w:bCs/>
          <w:i/>
          <w:sz w:val="24"/>
          <w:szCs w:val="24"/>
        </w:rPr>
        <w:t>2006/115/EC</w:t>
      </w:r>
      <w:r w:rsidR="00752C6B" w:rsidRPr="00AD0E6B">
        <w:rPr>
          <w:rStyle w:val="AlcmChar"/>
          <w:rFonts w:ascii="Times New Roman" w:eastAsiaTheme="minorEastAsia" w:hAnsi="Times New Roman"/>
          <w:i/>
          <w:lang w:val="en-US"/>
        </w:rPr>
        <w:t xml:space="preserve"> </w:t>
      </w:r>
      <w:r w:rsidR="00AD0E6B" w:rsidRPr="00AD0E6B">
        <w:rPr>
          <w:rStyle w:val="AlcmChar"/>
          <w:rFonts w:ascii="Times New Roman" w:eastAsiaTheme="minorEastAsia" w:hAnsi="Times New Roman"/>
          <w:i/>
          <w:lang w:val="en-US"/>
        </w:rPr>
        <w:t xml:space="preserve">to performances and phonograms of nationals of States that are non-members of the EU and are not protected under the WPPT </w:t>
      </w:r>
      <w:r w:rsidR="00752C6B">
        <w:rPr>
          <w:rStyle w:val="AlcmChar"/>
          <w:rFonts w:ascii="Times New Roman" w:eastAsiaTheme="minorEastAsia" w:hAnsi="Times New Roman"/>
          <w:i/>
          <w:lang w:val="en-US"/>
        </w:rPr>
        <w:t>is</w:t>
      </w:r>
      <w:r w:rsidR="00AD0E6B" w:rsidRPr="00AD0E6B">
        <w:rPr>
          <w:rStyle w:val="AlcmChar"/>
          <w:rFonts w:ascii="Times New Roman" w:eastAsiaTheme="minorEastAsia" w:hAnsi="Times New Roman"/>
          <w:i/>
          <w:lang w:val="en-US"/>
        </w:rPr>
        <w:t xml:space="preserve"> </w:t>
      </w:r>
      <w:r w:rsidR="0082008E">
        <w:rPr>
          <w:rStyle w:val="AlcmChar"/>
          <w:rFonts w:ascii="Times New Roman" w:eastAsiaTheme="minorEastAsia" w:hAnsi="Times New Roman"/>
          <w:i/>
          <w:lang w:val="en-US"/>
        </w:rPr>
        <w:t xml:space="preserve">not </w:t>
      </w:r>
      <w:r w:rsidR="00AD0E6B" w:rsidRPr="00AD0E6B">
        <w:rPr>
          <w:rStyle w:val="AlcmChar"/>
          <w:rFonts w:ascii="Times New Roman" w:eastAsiaTheme="minorEastAsia" w:hAnsi="Times New Roman"/>
          <w:i/>
          <w:lang w:val="en-US"/>
        </w:rPr>
        <w:t xml:space="preserve">well-founded; one cannot speak  about the non-application of a non-existing right as a </w:t>
      </w:r>
      <w:r w:rsidR="00AD0E6B">
        <w:rPr>
          <w:rStyle w:val="AlcmChar"/>
          <w:rFonts w:ascii="Times New Roman" w:eastAsiaTheme="minorEastAsia" w:hAnsi="Times New Roman"/>
          <w:i/>
          <w:lang w:val="en-US"/>
        </w:rPr>
        <w:t>‘</w:t>
      </w:r>
      <w:r w:rsidR="00AD0E6B" w:rsidRPr="00AD0E6B">
        <w:rPr>
          <w:rStyle w:val="AlcmChar"/>
          <w:rFonts w:ascii="Times New Roman" w:eastAsiaTheme="minorEastAsia" w:hAnsi="Times New Roman"/>
          <w:i/>
          <w:lang w:val="en-US"/>
        </w:rPr>
        <w:t>limitation</w:t>
      </w:r>
      <w:r w:rsidR="00AD0E6B">
        <w:rPr>
          <w:rStyle w:val="AlcmChar"/>
          <w:rFonts w:ascii="Times New Roman" w:eastAsiaTheme="minorEastAsia" w:hAnsi="Times New Roman"/>
          <w:i/>
          <w:lang w:val="en-US"/>
        </w:rPr>
        <w:t>’</w:t>
      </w:r>
      <w:r w:rsidR="00AD0E6B" w:rsidRPr="00AD0E6B">
        <w:rPr>
          <w:rStyle w:val="AlcmChar"/>
          <w:rFonts w:ascii="Times New Roman" w:eastAsiaTheme="minorEastAsia" w:hAnsi="Times New Roman"/>
          <w:i/>
          <w:lang w:val="en-US"/>
        </w:rPr>
        <w:t xml:space="preserve"> of a right; such performances and phonograms are outside the contours of copyright and related rights</w:t>
      </w:r>
      <w:r w:rsidR="00AD0E6B">
        <w:rPr>
          <w:rStyle w:val="AlcmChar"/>
          <w:rFonts w:ascii="Times New Roman" w:eastAsiaTheme="minorEastAsia" w:hAnsi="Times New Roman"/>
          <w:i/>
          <w:lang w:val="en-US"/>
        </w:rPr>
        <w:t xml:space="preserve"> (</w:t>
      </w:r>
      <w:r w:rsidR="00B07E84">
        <w:rPr>
          <w:rStyle w:val="AlcmChar"/>
          <w:rFonts w:ascii="Times New Roman" w:eastAsiaTheme="minorEastAsia" w:hAnsi="Times New Roman"/>
          <w:i/>
          <w:lang w:val="en-US"/>
        </w:rPr>
        <w:t>and this</w:t>
      </w:r>
      <w:r w:rsidR="00AD0E6B" w:rsidRPr="00AD0E6B">
        <w:rPr>
          <w:rStyle w:val="AlcmChar"/>
          <w:rFonts w:ascii="Times New Roman" w:eastAsiaTheme="minorEastAsia" w:hAnsi="Times New Roman"/>
          <w:i/>
          <w:lang w:val="en-US"/>
        </w:rPr>
        <w:t xml:space="preserve"> is adequately clarified in the existing laws of the EU Member States</w:t>
      </w:r>
      <w:r w:rsidR="00AD0E6B">
        <w:rPr>
          <w:rStyle w:val="AlcmChar"/>
          <w:rFonts w:ascii="Times New Roman" w:eastAsiaTheme="minorEastAsia" w:hAnsi="Times New Roman"/>
          <w:i/>
          <w:lang w:val="en-US"/>
        </w:rPr>
        <w:t xml:space="preserve">) </w:t>
      </w:r>
      <w:r w:rsidR="00AD0E6B">
        <w:rPr>
          <w:rStyle w:val="AlcmChar"/>
          <w:rFonts w:ascii="Times New Roman" w:eastAsiaTheme="minorEastAsia" w:hAnsi="Times New Roman"/>
          <w:lang w:val="en-US"/>
        </w:rPr>
        <w:t xml:space="preserve">(“the </w:t>
      </w:r>
      <w:r w:rsidR="00185EF4">
        <w:rPr>
          <w:rStyle w:val="AlcmChar"/>
          <w:rFonts w:ascii="Times New Roman" w:eastAsiaTheme="minorEastAsia" w:hAnsi="Times New Roman"/>
          <w:lang w:val="en-US"/>
        </w:rPr>
        <w:t>regrettable</w:t>
      </w:r>
      <w:r w:rsidR="00AD0E6B">
        <w:rPr>
          <w:rStyle w:val="AlcmChar"/>
          <w:rFonts w:ascii="Times New Roman" w:eastAsiaTheme="minorEastAsia" w:hAnsi="Times New Roman"/>
          <w:lang w:val="en-US"/>
        </w:rPr>
        <w:t xml:space="preserve">”). </w:t>
      </w:r>
      <w:r w:rsidR="00185EF4">
        <w:rPr>
          <w:rStyle w:val="AlcmChar"/>
          <w:rFonts w:ascii="Times New Roman" w:eastAsiaTheme="minorEastAsia" w:hAnsi="Times New Roman"/>
          <w:lang w:val="en-US"/>
        </w:rPr>
        <w:t>It is regrettable that t</w:t>
      </w:r>
      <w:r w:rsidR="00A67963">
        <w:rPr>
          <w:rStyle w:val="AlcmChar"/>
          <w:rFonts w:ascii="Times New Roman" w:eastAsiaTheme="minorEastAsia" w:hAnsi="Times New Roman"/>
          <w:lang w:val="en-US"/>
        </w:rPr>
        <w:t xml:space="preserve">he Court has derived its ruling from </w:t>
      </w:r>
      <w:r w:rsidR="00A67963">
        <w:rPr>
          <w:rFonts w:ascii="Times New Roman" w:eastAsia="Times New Roman" w:hAnsi="Times New Roman" w:cs="Times New Roman"/>
          <w:bCs/>
          <w:sz w:val="24"/>
          <w:szCs w:val="24"/>
        </w:rPr>
        <w:t xml:space="preserve">Article 52(1) of the Charter of Fundamental Rights of the </w:t>
      </w:r>
      <w:r w:rsidR="00A67963">
        <w:rPr>
          <w:rFonts w:ascii="Times New Roman" w:eastAsia="Times New Roman" w:hAnsi="Times New Roman" w:cs="Times New Roman"/>
          <w:bCs/>
          <w:sz w:val="24"/>
          <w:szCs w:val="24"/>
        </w:rPr>
        <w:lastRenderedPageBreak/>
        <w:t>European Union</w:t>
      </w:r>
      <w:r w:rsidR="00D32529">
        <w:rPr>
          <w:rStyle w:val="Lbjegyzet-hivatkozs"/>
          <w:rFonts w:ascii="Times New Roman" w:eastAsia="Times New Roman" w:hAnsi="Times New Roman" w:cs="Times New Roman"/>
          <w:bCs/>
          <w:sz w:val="24"/>
          <w:szCs w:val="24"/>
        </w:rPr>
        <w:footnoteReference w:id="3"/>
      </w:r>
      <w:r w:rsidR="0082008E">
        <w:rPr>
          <w:rFonts w:ascii="Times New Roman" w:eastAsia="Times New Roman" w:hAnsi="Times New Roman" w:cs="Times New Roman"/>
          <w:bCs/>
          <w:sz w:val="24"/>
          <w:szCs w:val="24"/>
        </w:rPr>
        <w:t xml:space="preserve"> </w:t>
      </w:r>
      <w:r w:rsidR="00185EF4">
        <w:rPr>
          <w:rFonts w:ascii="Times New Roman" w:eastAsia="Times New Roman" w:hAnsi="Times New Roman" w:cs="Times New Roman"/>
          <w:bCs/>
          <w:sz w:val="24"/>
          <w:szCs w:val="24"/>
        </w:rPr>
        <w:t xml:space="preserve">which is about the general criteria of applying limitations of IP rights, </w:t>
      </w:r>
      <w:r w:rsidR="00BC4AD3">
        <w:rPr>
          <w:rFonts w:ascii="Times New Roman" w:eastAsia="Times New Roman" w:hAnsi="Times New Roman" w:cs="Times New Roman"/>
          <w:bCs/>
          <w:sz w:val="24"/>
          <w:szCs w:val="24"/>
        </w:rPr>
        <w:t>because there</w:t>
      </w:r>
      <w:r w:rsidR="00185EF4">
        <w:rPr>
          <w:rFonts w:ascii="Times New Roman" w:eastAsia="Times New Roman" w:hAnsi="Times New Roman" w:cs="Times New Roman"/>
          <w:bCs/>
          <w:sz w:val="24"/>
          <w:szCs w:val="24"/>
        </w:rPr>
        <w:t xml:space="preserve"> are no right to limit</w:t>
      </w:r>
      <w:r w:rsidR="00BC4AD3">
        <w:rPr>
          <w:rFonts w:ascii="Times New Roman" w:eastAsia="Times New Roman" w:hAnsi="Times New Roman" w:cs="Times New Roman"/>
          <w:bCs/>
          <w:sz w:val="24"/>
          <w:szCs w:val="24"/>
        </w:rPr>
        <w:t xml:space="preserve"> in the case of not-protected subject matter</w:t>
      </w:r>
      <w:r w:rsidR="00185EF4">
        <w:rPr>
          <w:rFonts w:ascii="Times New Roman" w:eastAsia="Times New Roman" w:hAnsi="Times New Roman" w:cs="Times New Roman"/>
          <w:bCs/>
          <w:sz w:val="24"/>
          <w:szCs w:val="24"/>
        </w:rPr>
        <w:t xml:space="preserve">); that it has </w:t>
      </w:r>
      <w:r w:rsidR="00BC4AD3">
        <w:rPr>
          <w:rFonts w:ascii="Times New Roman" w:eastAsia="Times New Roman" w:hAnsi="Times New Roman" w:cs="Times New Roman"/>
          <w:bCs/>
          <w:sz w:val="24"/>
          <w:szCs w:val="24"/>
        </w:rPr>
        <w:t xml:space="preserve">intervened (and not in a fortunate way) into the regulation of a system which had been adequately established and applied without any problem whatsoever; and that in this way it has created highly unexpected disruptions in well-functioning national systems to support creativity and protect cultural diversity-  </w:t>
      </w:r>
      <w:r w:rsidR="00185EF4">
        <w:rPr>
          <w:rFonts w:ascii="Times New Roman" w:eastAsia="Times New Roman" w:hAnsi="Times New Roman" w:cs="Times New Roman"/>
          <w:bCs/>
          <w:sz w:val="24"/>
          <w:szCs w:val="24"/>
        </w:rPr>
        <w:t xml:space="preserve"> </w:t>
      </w:r>
    </w:p>
    <w:p w:rsidR="00AD0E6B" w:rsidRDefault="00AD0E6B" w:rsidP="00AD0E6B">
      <w:pPr>
        <w:spacing w:after="0" w:line="240" w:lineRule="auto"/>
        <w:jc w:val="both"/>
        <w:rPr>
          <w:rStyle w:val="AlcmChar"/>
          <w:rFonts w:ascii="Times New Roman" w:eastAsiaTheme="minorEastAsia" w:hAnsi="Times New Roman"/>
          <w:lang w:val="en-US"/>
        </w:rPr>
      </w:pPr>
    </w:p>
    <w:p w:rsidR="009E53E6" w:rsidRPr="009E53E6" w:rsidRDefault="00AD0E6B" w:rsidP="009E53E6">
      <w:pPr>
        <w:spacing w:after="0" w:line="240" w:lineRule="auto"/>
        <w:ind w:firstLine="142"/>
        <w:jc w:val="both"/>
        <w:rPr>
          <w:rFonts w:ascii="Times New Roman" w:hAnsi="Times New Roman" w:cs="Times New Roman"/>
          <w:i/>
          <w:szCs w:val="24"/>
        </w:rPr>
      </w:pPr>
      <w:r w:rsidRPr="009E53E6">
        <w:rPr>
          <w:rStyle w:val="AlcmChar"/>
          <w:rFonts w:ascii="Times New Roman" w:eastAsiaTheme="minorEastAsia" w:hAnsi="Times New Roman"/>
        </w:rPr>
        <w:t xml:space="preserve">  The fourth and last title is this: </w:t>
      </w:r>
      <w:r w:rsidR="009E53E6" w:rsidRPr="009E53E6">
        <w:rPr>
          <w:rStyle w:val="AlcmChar"/>
          <w:rFonts w:ascii="Times New Roman" w:eastAsiaTheme="minorEastAsia" w:hAnsi="Times New Roman"/>
          <w:i/>
        </w:rPr>
        <w:t>“</w:t>
      </w:r>
      <w:r w:rsidR="009E53E6" w:rsidRPr="009E53E6">
        <w:rPr>
          <w:rStyle w:val="AlcmChar"/>
          <w:rFonts w:ascii="Times New Roman" w:eastAsiaTheme="minorHAnsi" w:hAnsi="Times New Roman"/>
          <w:i/>
        </w:rPr>
        <w:t>It is desirable to make it clear in the EU law that no remuneration is due for the uses of performances and phonograms not protected in the EU; nevertheless, where the lump-sum paid by the users is still calculated to also cover such uses, (i) in the absence of EU legislative norms, the corresponding remuneration may be transferred to the foreigners on the basis of reciprocity; (ii) it may be transferred to foreigners without reciprocity; and (iii) it (as not-for-distribution remuneration) may be used in the same way as non-distributable fees, for cultural and social purposes”</w:t>
      </w:r>
      <w:r w:rsidR="009E53E6" w:rsidRPr="009E53E6">
        <w:rPr>
          <w:rStyle w:val="AlcmChar"/>
          <w:rFonts w:ascii="Times New Roman" w:eastAsiaTheme="minorHAnsi" w:hAnsi="Times New Roman"/>
        </w:rPr>
        <w:t xml:space="preserve"> (“the desirable”).</w:t>
      </w:r>
      <w:r w:rsidR="009E53E6">
        <w:rPr>
          <w:rFonts w:ascii="Times New Roman" w:hAnsi="Times New Roman" w:cs="Times New Roman"/>
          <w:szCs w:val="24"/>
        </w:rPr>
        <w:t xml:space="preserve"> </w:t>
      </w:r>
      <w:r w:rsidR="009E53E6" w:rsidRPr="009E53E6">
        <w:rPr>
          <w:rFonts w:ascii="Times New Roman" w:hAnsi="Times New Roman" w:cs="Times New Roman"/>
          <w:i/>
          <w:szCs w:val="24"/>
        </w:rPr>
        <w:t xml:space="preserve"> </w:t>
      </w:r>
      <w:r w:rsidR="00BC4AD3">
        <w:rPr>
          <w:rFonts w:ascii="Times New Roman" w:hAnsi="Times New Roman" w:cs="Times New Roman"/>
          <w:szCs w:val="24"/>
        </w:rPr>
        <w:t xml:space="preserve">Both measures are necessary; that is to reestablish the limits of international obligations and the elimination of the unexpected disruption of the well-functioning </w:t>
      </w:r>
      <w:r w:rsidR="003438D0">
        <w:rPr>
          <w:rFonts w:ascii="Times New Roman" w:hAnsi="Times New Roman" w:cs="Times New Roman"/>
          <w:szCs w:val="24"/>
        </w:rPr>
        <w:t xml:space="preserve">forms of using not-for-distributable remuneration in certain Member States the same way as non-distributable remuneration. </w:t>
      </w:r>
      <w:r w:rsidR="009E53E6" w:rsidRPr="009E53E6">
        <w:rPr>
          <w:rFonts w:ascii="Times New Roman" w:hAnsi="Times New Roman" w:cs="Times New Roman"/>
          <w:i/>
          <w:szCs w:val="24"/>
        </w:rPr>
        <w:t xml:space="preserve">            </w:t>
      </w:r>
    </w:p>
    <w:bookmarkEnd w:id="0"/>
    <w:p w:rsidR="00193E0E" w:rsidRPr="00E744B2" w:rsidRDefault="002E3219" w:rsidP="00494D93">
      <w:pPr>
        <w:spacing w:before="100" w:beforeAutospacing="1" w:after="100" w:afterAutospacing="1" w:line="240" w:lineRule="auto"/>
        <w:jc w:val="both"/>
        <w:rPr>
          <w:rFonts w:ascii="Times New Roman" w:hAnsi="Times New Roman" w:cs="Times New Roman"/>
          <w:b/>
          <w:i/>
          <w:sz w:val="24"/>
          <w:szCs w:val="24"/>
          <w:lang w:eastAsia="hu-HU"/>
        </w:rPr>
      </w:pPr>
      <w:r>
        <w:rPr>
          <w:rFonts w:ascii="Times New Roman" w:hAnsi="Times New Roman" w:cs="Times New Roman"/>
          <w:b/>
          <w:i/>
          <w:sz w:val="24"/>
          <w:szCs w:val="24"/>
          <w:lang w:eastAsia="hu-HU"/>
        </w:rPr>
        <w:t xml:space="preserve">I. </w:t>
      </w:r>
      <w:r w:rsidR="00772ABA" w:rsidRPr="00E744B2">
        <w:rPr>
          <w:rFonts w:ascii="Times New Roman" w:hAnsi="Times New Roman" w:cs="Times New Roman"/>
          <w:b/>
          <w:i/>
          <w:sz w:val="24"/>
          <w:szCs w:val="24"/>
          <w:lang w:eastAsia="hu-HU"/>
        </w:rPr>
        <w:t xml:space="preserve">Certain </w:t>
      </w:r>
      <w:r w:rsidR="003E35D2" w:rsidRPr="00E744B2">
        <w:rPr>
          <w:rFonts w:ascii="Times New Roman" w:hAnsi="Times New Roman" w:cs="Times New Roman"/>
          <w:b/>
          <w:i/>
          <w:sz w:val="24"/>
          <w:szCs w:val="24"/>
          <w:lang w:eastAsia="hu-HU"/>
        </w:rPr>
        <w:t xml:space="preserve">rulings </w:t>
      </w:r>
      <w:r w:rsidR="00E744B2">
        <w:rPr>
          <w:rFonts w:ascii="Times New Roman" w:hAnsi="Times New Roman" w:cs="Times New Roman"/>
          <w:b/>
          <w:i/>
          <w:sz w:val="24"/>
          <w:szCs w:val="24"/>
          <w:lang w:eastAsia="hu-HU"/>
        </w:rPr>
        <w:t xml:space="preserve">in RAAP </w:t>
      </w:r>
      <w:r w:rsidR="00772ABA" w:rsidRPr="00E744B2">
        <w:rPr>
          <w:rFonts w:ascii="Times New Roman" w:hAnsi="Times New Roman" w:cs="Times New Roman"/>
          <w:b/>
          <w:i/>
          <w:sz w:val="24"/>
          <w:szCs w:val="24"/>
          <w:lang w:eastAsia="hu-HU"/>
        </w:rPr>
        <w:t xml:space="preserve">are responses </w:t>
      </w:r>
      <w:r w:rsidR="003E35D2" w:rsidRPr="00E744B2">
        <w:rPr>
          <w:rFonts w:ascii="Times New Roman" w:hAnsi="Times New Roman" w:cs="Times New Roman"/>
          <w:b/>
          <w:i/>
          <w:sz w:val="24"/>
          <w:szCs w:val="24"/>
          <w:lang w:eastAsia="hu-HU"/>
        </w:rPr>
        <w:t xml:space="preserve">to preliminary questions </w:t>
      </w:r>
      <w:r w:rsidR="00772ABA" w:rsidRPr="00E744B2">
        <w:rPr>
          <w:rFonts w:ascii="Times New Roman" w:hAnsi="Times New Roman" w:cs="Times New Roman"/>
          <w:b/>
          <w:i/>
          <w:sz w:val="24"/>
          <w:szCs w:val="24"/>
          <w:lang w:eastAsia="hu-HU"/>
        </w:rPr>
        <w:t xml:space="preserve">that </w:t>
      </w:r>
      <w:r w:rsidR="003E35D2" w:rsidRPr="00E744B2">
        <w:rPr>
          <w:rFonts w:ascii="Times New Roman" w:hAnsi="Times New Roman" w:cs="Times New Roman"/>
          <w:b/>
          <w:i/>
          <w:sz w:val="24"/>
          <w:szCs w:val="24"/>
          <w:lang w:eastAsia="hu-HU"/>
        </w:rPr>
        <w:t xml:space="preserve">boil down to asking </w:t>
      </w:r>
      <w:r w:rsidR="00772ABA" w:rsidRPr="00E744B2">
        <w:rPr>
          <w:rFonts w:ascii="Times New Roman" w:hAnsi="Times New Roman" w:cs="Times New Roman"/>
          <w:b/>
          <w:i/>
          <w:sz w:val="24"/>
          <w:szCs w:val="24"/>
          <w:lang w:eastAsia="hu-HU"/>
        </w:rPr>
        <w:t xml:space="preserve">the Court </w:t>
      </w:r>
      <w:r w:rsidR="003E35D2" w:rsidRPr="00E744B2">
        <w:rPr>
          <w:rFonts w:ascii="Times New Roman" w:hAnsi="Times New Roman" w:cs="Times New Roman"/>
          <w:b/>
          <w:i/>
          <w:sz w:val="24"/>
          <w:szCs w:val="24"/>
          <w:lang w:eastAsia="hu-HU"/>
        </w:rPr>
        <w:t>whether or not the text of the relevant international, EU and national norms truly read in the way they obviously do</w:t>
      </w:r>
      <w:r w:rsidR="00193E0E" w:rsidRPr="00E744B2">
        <w:rPr>
          <w:rFonts w:ascii="Times New Roman" w:hAnsi="Times New Roman" w:cs="Times New Roman"/>
          <w:b/>
          <w:i/>
          <w:sz w:val="24"/>
          <w:szCs w:val="24"/>
          <w:lang w:eastAsia="hu-HU"/>
        </w:rPr>
        <w:t xml:space="preserve"> </w:t>
      </w:r>
    </w:p>
    <w:p w:rsidR="00494D93" w:rsidRPr="00D023AB" w:rsidRDefault="00494D93" w:rsidP="00494D93">
      <w:pPr>
        <w:spacing w:before="100" w:beforeAutospacing="1" w:after="100" w:afterAutospacing="1" w:line="240" w:lineRule="auto"/>
        <w:jc w:val="both"/>
        <w:rPr>
          <w:rFonts w:ascii="Times New Roman" w:hAnsi="Times New Roman" w:cs="Times New Roman"/>
          <w:color w:val="FF0000"/>
          <w:sz w:val="24"/>
          <w:szCs w:val="24"/>
          <w:lang w:eastAsia="hu-HU"/>
        </w:rPr>
      </w:pPr>
      <w:r>
        <w:rPr>
          <w:rFonts w:ascii="Times New Roman" w:hAnsi="Times New Roman" w:cs="Times New Roman"/>
          <w:sz w:val="24"/>
          <w:szCs w:val="24"/>
          <w:lang w:eastAsia="hu-HU"/>
        </w:rPr>
        <w:t>In countries following the common law tradition, usually the CMO of producers is authorized to collect the single equitable remuneration (or at least the payment that is supposed to correspond to such remuneration). This was a plausible solution when the right was introduced for performers, because producers of phonograms (in those legal systems usually called “sound recordings”) had been enjoying “copyright” already for a while. In a way, it is understandable (although unjustified) that the introduction of the “new-comer” right to be applied for the same acts for which previously only the producers had the right to collect remuneration did meet with resistance. The reluctant welcome to performers’ rights did – and still do – ha</w:t>
      </w:r>
      <w:r w:rsidR="003438D0">
        <w:rPr>
          <w:rFonts w:ascii="Times New Roman" w:hAnsi="Times New Roman" w:cs="Times New Roman"/>
          <w:sz w:val="24"/>
          <w:szCs w:val="24"/>
          <w:lang w:eastAsia="hu-HU"/>
        </w:rPr>
        <w:t>s had</w:t>
      </w:r>
      <w:r>
        <w:rPr>
          <w:rFonts w:ascii="Times New Roman" w:hAnsi="Times New Roman" w:cs="Times New Roman"/>
          <w:sz w:val="24"/>
          <w:szCs w:val="24"/>
          <w:lang w:eastAsia="hu-HU"/>
        </w:rPr>
        <w:t xml:space="preserve"> certain negative effects both on the enjoyment of their right to a share from the single equitable remuneration and on the exercise of the right, normally through their CMOs. This has been manifested in a spectacular manner in </w:t>
      </w:r>
      <w:r>
        <w:rPr>
          <w:rFonts w:ascii="Times New Roman" w:hAnsi="Times New Roman" w:cs="Times New Roman"/>
          <w:i/>
          <w:sz w:val="24"/>
          <w:szCs w:val="24"/>
          <w:lang w:eastAsia="hu-HU"/>
        </w:rPr>
        <w:t>RAAP</w:t>
      </w:r>
      <w:r>
        <w:rPr>
          <w:rFonts w:ascii="Times New Roman" w:hAnsi="Times New Roman" w:cs="Times New Roman"/>
          <w:sz w:val="24"/>
          <w:szCs w:val="24"/>
          <w:lang w:eastAsia="hu-HU"/>
        </w:rPr>
        <w:t xml:space="preserve">. </w:t>
      </w:r>
    </w:p>
    <w:p w:rsidR="00494D93" w:rsidRDefault="00494D93" w:rsidP="00494D93">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The CJEU has adopted the following rulings in </w:t>
      </w:r>
      <w:r>
        <w:rPr>
          <w:rFonts w:ascii="Times New Roman" w:hAnsi="Times New Roman" w:cs="Times New Roman"/>
          <w:i/>
          <w:sz w:val="24"/>
          <w:szCs w:val="24"/>
          <w:lang w:eastAsia="hu-HU"/>
        </w:rPr>
        <w:t>RAAP</w:t>
      </w:r>
      <w:r>
        <w:rPr>
          <w:rFonts w:ascii="Times New Roman" w:hAnsi="Times New Roman" w:cs="Times New Roman"/>
          <w:sz w:val="24"/>
          <w:szCs w:val="24"/>
          <w:lang w:eastAsia="hu-HU"/>
        </w:rPr>
        <w:t xml:space="preserve">:      </w:t>
      </w:r>
    </w:p>
    <w:p w:rsidR="00494D93" w:rsidRDefault="00494D93" w:rsidP="00494D93">
      <w:pPr>
        <w:spacing w:before="100" w:beforeAutospacing="1" w:after="240" w:line="24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w:t>
      </w:r>
      <w:r>
        <w:rPr>
          <w:rFonts w:ascii="Times New Roman" w:eastAsia="Times New Roman" w:hAnsi="Times New Roman" w:cs="Times New Roman"/>
          <w:bCs/>
          <w:i/>
          <w:sz w:val="24"/>
          <w:szCs w:val="24"/>
        </w:rPr>
        <w:t>Article 8(2) of Directive 2006/115/EC</w:t>
      </w:r>
      <w:r>
        <w:rPr>
          <w:rFonts w:ascii="Times New Roman" w:eastAsia="Times New Roman" w:hAnsi="Times New Roman" w:cs="Times New Roman"/>
          <w:bCs/>
          <w:sz w:val="24"/>
          <w:szCs w:val="24"/>
        </w:rPr>
        <w:t xml:space="preserve"> […] on rental right and lending right and on certain rights related to copyright in the field of intellectual property </w:t>
      </w:r>
      <w:r>
        <w:rPr>
          <w:rFonts w:ascii="Times New Roman" w:eastAsia="Times New Roman" w:hAnsi="Times New Roman" w:cs="Times New Roman"/>
          <w:bCs/>
          <w:i/>
          <w:sz w:val="24"/>
          <w:szCs w:val="24"/>
        </w:rPr>
        <w:t>must</w:t>
      </w:r>
      <w:r>
        <w:rPr>
          <w:rFonts w:ascii="Times New Roman" w:eastAsia="Times New Roman" w:hAnsi="Times New Roman" w:cs="Times New Roman"/>
          <w:bCs/>
          <w:sz w:val="24"/>
          <w:szCs w:val="24"/>
        </w:rPr>
        <w:t xml:space="preserve">, in the light of Article 4(1) and Article 15(1) of the [WPPT], </w:t>
      </w:r>
      <w:r>
        <w:rPr>
          <w:rFonts w:ascii="Times New Roman" w:eastAsia="Times New Roman" w:hAnsi="Times New Roman" w:cs="Times New Roman"/>
          <w:bCs/>
          <w:i/>
          <w:sz w:val="24"/>
          <w:szCs w:val="24"/>
        </w:rPr>
        <w:t xml:space="preserve">be interpreted as precluding a Member State from excluding, </w:t>
      </w:r>
      <w:r>
        <w:rPr>
          <w:rFonts w:ascii="Times New Roman" w:eastAsia="Times New Roman" w:hAnsi="Times New Roman" w:cs="Times New Roman"/>
          <w:bCs/>
          <w:sz w:val="24"/>
          <w:szCs w:val="24"/>
        </w:rPr>
        <w:t>when it transposes into its legislation the words ‘relevant performers’ which are contained in Article 8(2) of the directive and designate the performers</w:t>
      </w:r>
      <w:r>
        <w:rPr>
          <w:rFonts w:ascii="Times New Roman" w:eastAsia="Times New Roman" w:hAnsi="Times New Roman" w:cs="Times New Roman"/>
          <w:bCs/>
          <w:i/>
          <w:sz w:val="24"/>
          <w:szCs w:val="24"/>
        </w:rPr>
        <w:t xml:space="preserve"> entitled</w:t>
      </w:r>
      <w:r>
        <w:rPr>
          <w:rFonts w:ascii="Times New Roman" w:eastAsia="Times New Roman" w:hAnsi="Times New Roman" w:cs="Times New Roman"/>
          <w:bCs/>
          <w:sz w:val="24"/>
          <w:szCs w:val="24"/>
        </w:rPr>
        <w:t xml:space="preserve"> to a part of the single equitable remuneration referred to therein, </w:t>
      </w:r>
      <w:r>
        <w:rPr>
          <w:rFonts w:ascii="Times New Roman" w:eastAsia="Times New Roman" w:hAnsi="Times New Roman" w:cs="Times New Roman"/>
          <w:bCs/>
          <w:i/>
          <w:sz w:val="24"/>
          <w:szCs w:val="24"/>
        </w:rPr>
        <w:t>performers who are nationals of States outside the European Economic Area (EEA), with the sole exception of those who are domiciled or resident in the EEA and those whose contribution to the phonogram was made in the EEA.</w:t>
      </w:r>
    </w:p>
    <w:p w:rsidR="00494D93" w:rsidRDefault="00494D93" w:rsidP="00494D93">
      <w:pPr>
        <w:tabs>
          <w:tab w:val="left" w:pos="851"/>
        </w:tabs>
        <w:spacing w:before="100" w:beforeAutospacing="1" w:after="240" w:line="240" w:lineRule="auto"/>
        <w:ind w:left="567"/>
        <w:jc w:val="both"/>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2.  </w:t>
      </w:r>
      <w:r>
        <w:rPr>
          <w:rFonts w:ascii="Times New Roman" w:eastAsia="Times New Roman" w:hAnsi="Times New Roman" w:cs="Times New Roman"/>
          <w:bCs/>
          <w:i/>
          <w:sz w:val="24"/>
          <w:szCs w:val="24"/>
        </w:rPr>
        <w:t xml:space="preserve">Article 15(3) of the [WPPT| and Article 8(2) of Directive 2006/115 must, </w:t>
      </w:r>
      <w:r>
        <w:rPr>
          <w:rFonts w:ascii="Times New Roman" w:eastAsia="Times New Roman" w:hAnsi="Times New Roman" w:cs="Times New Roman"/>
          <w:bCs/>
          <w:sz w:val="24"/>
          <w:szCs w:val="24"/>
        </w:rPr>
        <w:t xml:space="preserve">as EU law currently stands, </w:t>
      </w:r>
      <w:r>
        <w:rPr>
          <w:rFonts w:ascii="Times New Roman" w:eastAsia="Times New Roman" w:hAnsi="Times New Roman" w:cs="Times New Roman"/>
          <w:bCs/>
          <w:i/>
          <w:sz w:val="24"/>
          <w:szCs w:val="24"/>
        </w:rPr>
        <w:t>be interpreted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as meaning that reservations notified by third States under Article 15(3) of the [WPPT] that have the effect of limiting on their territories the right to a single equitable remuneration</w:t>
      </w:r>
      <w:r>
        <w:rPr>
          <w:rFonts w:ascii="Times New Roman" w:eastAsia="Times New Roman" w:hAnsi="Times New Roman" w:cs="Times New Roman"/>
          <w:bCs/>
          <w:sz w:val="24"/>
          <w:szCs w:val="24"/>
        </w:rPr>
        <w:t xml:space="preserve"> laid down in Article 15(1) thereof </w:t>
      </w:r>
      <w:r>
        <w:rPr>
          <w:rFonts w:ascii="Times New Roman" w:eastAsia="Times New Roman" w:hAnsi="Times New Roman" w:cs="Times New Roman"/>
          <w:bCs/>
          <w:i/>
          <w:sz w:val="24"/>
          <w:szCs w:val="24"/>
        </w:rPr>
        <w:t>do not lead in the European Union to limitations of the right provided for in Article 8(2) of Directive 2006/115, in respect of nationals of those third States,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but such limitations may be introduced</w:t>
      </w:r>
      <w:r>
        <w:rPr>
          <w:rFonts w:ascii="Times New Roman" w:eastAsia="Times New Roman" w:hAnsi="Times New Roman" w:cs="Times New Roman"/>
          <w:bCs/>
          <w:sz w:val="24"/>
          <w:szCs w:val="24"/>
        </w:rPr>
        <w:t xml:space="preserve"> by the EU legislature, provided that they comply with the requirements of Article 52(1) of the Charter of Fundamental Rights of the European Union. </w:t>
      </w:r>
      <w:r>
        <w:rPr>
          <w:rFonts w:ascii="Times New Roman" w:eastAsia="Times New Roman" w:hAnsi="Times New Roman" w:cs="Times New Roman"/>
          <w:bCs/>
          <w:i/>
          <w:sz w:val="24"/>
          <w:szCs w:val="24"/>
        </w:rPr>
        <w:t>Article 8(2) of Directive 2006/115 therefore precludes a Member State from limiting the right to a single equitable remuneration in respect of performers and phonogram producers who are nationals of those third States.</w:t>
      </w:r>
    </w:p>
    <w:p w:rsidR="00494D93" w:rsidRDefault="00494D93" w:rsidP="00494D93">
      <w:pPr>
        <w:spacing w:before="100" w:beforeAutospacing="1" w:after="240" w:line="240" w:lineRule="auto"/>
        <w:ind w:left="567"/>
        <w:jc w:val="both"/>
        <w:rPr>
          <w:rFonts w:ascii="Times New Roman" w:hAnsi="Times New Roman" w:cs="Times New Roman"/>
          <w:sz w:val="24"/>
          <w:szCs w:val="24"/>
          <w:lang w:eastAsia="hu-HU"/>
        </w:rPr>
      </w:pPr>
      <w:r>
        <w:rPr>
          <w:rFonts w:ascii="Times New Roman" w:eastAsia="Times New Roman" w:hAnsi="Times New Roman" w:cs="Times New Roman"/>
          <w:bCs/>
          <w:sz w:val="24"/>
          <w:szCs w:val="24"/>
        </w:rPr>
        <w:t xml:space="preserve">3.  Article 8(2) of Directive 2006/115 must be interpreted as </w:t>
      </w:r>
      <w:r>
        <w:rPr>
          <w:rFonts w:ascii="Times New Roman" w:eastAsia="Times New Roman" w:hAnsi="Times New Roman" w:cs="Times New Roman"/>
          <w:bCs/>
          <w:i/>
          <w:sz w:val="24"/>
          <w:szCs w:val="24"/>
        </w:rPr>
        <w:t>precluding the right to a single equitable remuneration for which it provides from being limited in such a way that only the producer of the phonogram concerned receives remuneration</w:t>
      </w:r>
      <w:r>
        <w:rPr>
          <w:rFonts w:ascii="Times New Roman" w:eastAsia="Times New Roman" w:hAnsi="Times New Roman" w:cs="Times New Roman"/>
          <w:bCs/>
          <w:sz w:val="24"/>
          <w:szCs w:val="24"/>
        </w:rPr>
        <w:t>, and does not share it with the performer who has contributed to that phonogram.</w:t>
      </w:r>
      <w:r>
        <w:rPr>
          <w:rStyle w:val="Lbjegyzet-hivatkozs"/>
          <w:rFonts w:ascii="Times New Roman" w:eastAsia="Times New Roman" w:hAnsi="Times New Roman" w:cs="Times New Roman"/>
          <w:bCs/>
          <w:sz w:val="24"/>
          <w:szCs w:val="24"/>
        </w:rPr>
        <w:footnoteReference w:id="4"/>
      </w:r>
      <w:r>
        <w:rPr>
          <w:rFonts w:ascii="Times New Roman" w:eastAsia="Times New Roman" w:hAnsi="Times New Roman" w:cs="Times New Roman"/>
          <w:bCs/>
          <w:sz w:val="24"/>
          <w:szCs w:val="24"/>
        </w:rPr>
        <w:t xml:space="preserve"> [Emphasis added.] </w:t>
      </w:r>
    </w:p>
    <w:p w:rsidR="00494D93" w:rsidRDefault="00494D93" w:rsidP="00494D93">
      <w:pPr>
        <w:spacing w:before="100" w:beforeAutospacing="1" w:after="100" w:afterAutospacing="1"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There are two aspects of the rulings</w:t>
      </w:r>
      <w:r>
        <w:rPr>
          <w:rFonts w:ascii="Times New Roman" w:hAnsi="Times New Roman" w:cs="Times New Roman"/>
          <w:i/>
          <w:sz w:val="24"/>
          <w:szCs w:val="24"/>
          <w:lang w:eastAsia="hu-HU"/>
        </w:rPr>
        <w:t xml:space="preserve">. </w:t>
      </w:r>
      <w:r>
        <w:rPr>
          <w:rFonts w:ascii="Times New Roman" w:hAnsi="Times New Roman" w:cs="Times New Roman"/>
          <w:sz w:val="24"/>
          <w:szCs w:val="24"/>
          <w:lang w:eastAsia="hu-HU"/>
        </w:rPr>
        <w:t xml:space="preserve">In </w:t>
      </w:r>
      <w:r w:rsidR="00CA4F9C">
        <w:rPr>
          <w:rFonts w:ascii="Times New Roman" w:hAnsi="Times New Roman" w:cs="Times New Roman"/>
          <w:sz w:val="24"/>
          <w:szCs w:val="24"/>
          <w:lang w:eastAsia="hu-HU"/>
        </w:rPr>
        <w:t xml:space="preserve">point </w:t>
      </w:r>
      <w:r>
        <w:rPr>
          <w:rFonts w:ascii="Times New Roman" w:hAnsi="Times New Roman" w:cs="Times New Roman"/>
          <w:sz w:val="24"/>
          <w:szCs w:val="24"/>
          <w:lang w:eastAsia="hu-HU"/>
        </w:rPr>
        <w:t>3</w:t>
      </w:r>
      <w:r w:rsidR="00CA4F9C">
        <w:rPr>
          <w:rFonts w:ascii="Times New Roman" w:hAnsi="Times New Roman" w:cs="Times New Roman"/>
          <w:sz w:val="24"/>
          <w:szCs w:val="24"/>
          <w:lang w:eastAsia="hu-HU"/>
        </w:rPr>
        <w:t xml:space="preserve"> (and</w:t>
      </w:r>
      <w:r w:rsidR="003438D0">
        <w:rPr>
          <w:rFonts w:ascii="Times New Roman" w:hAnsi="Times New Roman" w:cs="Times New Roman"/>
          <w:sz w:val="24"/>
          <w:szCs w:val="24"/>
          <w:lang w:eastAsia="hu-HU"/>
        </w:rPr>
        <w:t>, when read alone,</w:t>
      </w:r>
      <w:r w:rsidR="00CA4F9C">
        <w:rPr>
          <w:rFonts w:ascii="Times New Roman" w:hAnsi="Times New Roman" w:cs="Times New Roman"/>
          <w:sz w:val="24"/>
          <w:szCs w:val="24"/>
          <w:lang w:eastAsia="hu-HU"/>
        </w:rPr>
        <w:t xml:space="preserve"> in point 1)</w:t>
      </w:r>
      <w:r>
        <w:rPr>
          <w:rFonts w:ascii="Times New Roman" w:hAnsi="Times New Roman" w:cs="Times New Roman"/>
          <w:sz w:val="24"/>
          <w:szCs w:val="24"/>
          <w:lang w:eastAsia="hu-HU"/>
        </w:rPr>
        <w:t xml:space="preserve">, the Court has stated what </w:t>
      </w:r>
      <w:r w:rsidR="003438D0">
        <w:rPr>
          <w:rFonts w:ascii="Times New Roman" w:hAnsi="Times New Roman" w:cs="Times New Roman"/>
          <w:sz w:val="24"/>
          <w:szCs w:val="24"/>
          <w:lang w:eastAsia="hu-HU"/>
        </w:rPr>
        <w:t>is</w:t>
      </w:r>
      <w:r>
        <w:rPr>
          <w:rFonts w:ascii="Times New Roman" w:hAnsi="Times New Roman" w:cs="Times New Roman"/>
          <w:sz w:val="24"/>
          <w:szCs w:val="24"/>
          <w:lang w:eastAsia="hu-HU"/>
        </w:rPr>
        <w:t xml:space="preserve"> obvious under the EU law and the WPPT. Namely that the Member States are obligated under Article 8(2) of </w:t>
      </w:r>
      <w:r>
        <w:rPr>
          <w:rFonts w:ascii="Times New Roman" w:hAnsi="Times New Roman" w:cs="Times New Roman"/>
          <w:sz w:val="24"/>
          <w:szCs w:val="24"/>
        </w:rPr>
        <w:t>Directive 2006/115/EC</w:t>
      </w:r>
      <w:r>
        <w:rPr>
          <w:rFonts w:ascii="Times New Roman" w:hAnsi="Times New Roman" w:cs="Times New Roman"/>
          <w:sz w:val="24"/>
          <w:szCs w:val="24"/>
          <w:lang w:eastAsia="hu-HU"/>
        </w:rPr>
        <w:t xml:space="preserve"> to provide that, where the producers collect the remuneration, they must share it with the performers (point 3 of the ruling) and that the single equitable remuneration must be granted also to the performers who are nationals of States outside the European Economic Area (EEA) in accordance with the relevant international treaties (point 1 of the ruling). In contrast, what is stated in </w:t>
      </w:r>
      <w:r w:rsidR="00CA4F9C">
        <w:rPr>
          <w:rFonts w:ascii="Times New Roman" w:hAnsi="Times New Roman" w:cs="Times New Roman"/>
          <w:sz w:val="24"/>
          <w:szCs w:val="24"/>
          <w:lang w:eastAsia="hu-HU"/>
        </w:rPr>
        <w:t xml:space="preserve">particular in </w:t>
      </w:r>
      <w:r>
        <w:rPr>
          <w:rFonts w:ascii="Times New Roman" w:hAnsi="Times New Roman" w:cs="Times New Roman"/>
          <w:sz w:val="24"/>
          <w:szCs w:val="24"/>
          <w:lang w:eastAsia="hu-HU"/>
        </w:rPr>
        <w:t xml:space="preserve">2 is far from being obvious; it means no less than that the Court would introduce a new unilateral international obligation to the Member States which does not </w:t>
      </w:r>
      <w:r w:rsidR="00D023AB">
        <w:rPr>
          <w:rFonts w:ascii="Times New Roman" w:hAnsi="Times New Roman" w:cs="Times New Roman"/>
          <w:sz w:val="24"/>
          <w:szCs w:val="24"/>
          <w:lang w:eastAsia="hu-HU"/>
        </w:rPr>
        <w:t xml:space="preserve">follow </w:t>
      </w:r>
      <w:r>
        <w:rPr>
          <w:rFonts w:ascii="Times New Roman" w:hAnsi="Times New Roman" w:cs="Times New Roman"/>
          <w:sz w:val="24"/>
          <w:szCs w:val="24"/>
          <w:lang w:eastAsia="hu-HU"/>
        </w:rPr>
        <w:t>from the WPPT (or the Rome Convention). The application of the</w:t>
      </w:r>
      <w:r w:rsidR="00CA4F9C">
        <w:rPr>
          <w:rFonts w:ascii="Times New Roman" w:hAnsi="Times New Roman" w:cs="Times New Roman"/>
          <w:sz w:val="24"/>
          <w:szCs w:val="24"/>
          <w:lang w:eastAsia="hu-HU"/>
        </w:rPr>
        <w:t>se</w:t>
      </w:r>
      <w:r>
        <w:rPr>
          <w:rFonts w:ascii="Times New Roman" w:hAnsi="Times New Roman" w:cs="Times New Roman"/>
          <w:sz w:val="24"/>
          <w:szCs w:val="24"/>
          <w:lang w:eastAsia="hu-HU"/>
        </w:rPr>
        <w:t xml:space="preserve"> point</w:t>
      </w:r>
      <w:r w:rsidR="00CA4F9C">
        <w:rPr>
          <w:rFonts w:ascii="Times New Roman" w:hAnsi="Times New Roman" w:cs="Times New Roman"/>
          <w:sz w:val="24"/>
          <w:szCs w:val="24"/>
          <w:lang w:eastAsia="hu-HU"/>
        </w:rPr>
        <w:t>s</w:t>
      </w:r>
      <w:r>
        <w:rPr>
          <w:rFonts w:ascii="Times New Roman" w:hAnsi="Times New Roman" w:cs="Times New Roman"/>
          <w:sz w:val="24"/>
          <w:szCs w:val="24"/>
          <w:lang w:eastAsia="hu-HU"/>
        </w:rPr>
        <w:t xml:space="preserve"> of the rulings not only would mean new financial burdens to the Member States, but it would also lead to drying out the sources used by several EU Member States for the promotion of creativity and the protection of cultural diversity.</w:t>
      </w:r>
      <w:r w:rsidRPr="00494D93">
        <w:rPr>
          <w:rFonts w:ascii="Times New Roman" w:hAnsi="Times New Roman" w:cs="Times New Roman"/>
          <w:color w:val="FF0000"/>
          <w:sz w:val="24"/>
          <w:szCs w:val="24"/>
          <w:lang w:eastAsia="hu-HU"/>
        </w:rPr>
        <w:t xml:space="preserve"> </w:t>
      </w:r>
    </w:p>
    <w:p w:rsidR="00494D93" w:rsidRDefault="00494D93" w:rsidP="00494D93">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It point 3 of the rulings</w:t>
      </w:r>
      <w:r w:rsidR="00CA4F9C">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the CJEU has answered to a preliminary question of the Irish court which </w:t>
      </w:r>
      <w:r w:rsidR="00D023AB">
        <w:rPr>
          <w:rFonts w:ascii="Times New Roman" w:hAnsi="Times New Roman" w:cs="Times New Roman"/>
          <w:sz w:val="24"/>
          <w:szCs w:val="24"/>
          <w:lang w:eastAsia="hu-HU"/>
        </w:rPr>
        <w:t xml:space="preserve">concerned </w:t>
      </w:r>
      <w:r>
        <w:rPr>
          <w:rFonts w:ascii="Times New Roman" w:hAnsi="Times New Roman" w:cs="Times New Roman"/>
          <w:sz w:val="24"/>
          <w:szCs w:val="24"/>
          <w:lang w:eastAsia="hu-HU"/>
        </w:rPr>
        <w:t xml:space="preserve">an </w:t>
      </w:r>
      <w:r>
        <w:rPr>
          <w:rFonts w:ascii="Times New Roman" w:hAnsi="Times New Roman" w:cs="Times New Roman"/>
          <w:i/>
          <w:sz w:val="24"/>
          <w:szCs w:val="24"/>
          <w:lang w:eastAsia="hu-HU"/>
        </w:rPr>
        <w:t>acte clair</w:t>
      </w:r>
      <w:r>
        <w:rPr>
          <w:rFonts w:ascii="Times New Roman" w:hAnsi="Times New Roman" w:cs="Times New Roman"/>
          <w:sz w:val="24"/>
          <w:szCs w:val="24"/>
          <w:lang w:eastAsia="hu-HU"/>
        </w:rPr>
        <w:t>: “</w:t>
      </w:r>
      <w:r>
        <w:rPr>
          <w:rFonts w:ascii="Times New Roman" w:eastAsia="Times New Roman" w:hAnsi="Times New Roman" w:cs="Times New Roman"/>
          <w:color w:val="000000"/>
          <w:sz w:val="24"/>
          <w:szCs w:val="24"/>
        </w:rPr>
        <w:t>Is it permissible in any circumstances to confine the right to equitable remuneration to the producers of a sound recording, i.e. to deny the right to the performers whose performances have been fixed in that sound recording?’”</w:t>
      </w:r>
      <w:r>
        <w:rPr>
          <w:rFonts w:ascii="Times New Roman" w:hAnsi="Times New Roman" w:cs="Times New Roman"/>
          <w:sz w:val="24"/>
          <w:szCs w:val="24"/>
          <w:lang w:eastAsia="hu-HU"/>
        </w:rPr>
        <w:t xml:space="preserve"> There is good reason to consider that this is an </w:t>
      </w:r>
      <w:r>
        <w:rPr>
          <w:rFonts w:ascii="Times New Roman" w:hAnsi="Times New Roman" w:cs="Times New Roman"/>
          <w:i/>
          <w:sz w:val="24"/>
          <w:szCs w:val="24"/>
          <w:lang w:eastAsia="hu-HU"/>
        </w:rPr>
        <w:t>acte clair</w:t>
      </w:r>
      <w:r>
        <w:rPr>
          <w:rFonts w:ascii="Times New Roman" w:hAnsi="Times New Roman" w:cs="Times New Roman"/>
          <w:sz w:val="24"/>
          <w:szCs w:val="24"/>
          <w:lang w:eastAsia="hu-HU"/>
        </w:rPr>
        <w:t xml:space="preserve"> under the EU law because Article 8(2) of </w:t>
      </w:r>
      <w:r w:rsidR="00487DA4">
        <w:rPr>
          <w:rFonts w:ascii="Times New Roman" w:hAnsi="Times New Roman" w:cs="Times New Roman"/>
          <w:sz w:val="24"/>
          <w:szCs w:val="24"/>
          <w:lang w:eastAsia="hu-HU"/>
        </w:rPr>
        <w:t>Directive 2</w:t>
      </w:r>
      <w:r w:rsidR="00487DA4" w:rsidRPr="00665177">
        <w:rPr>
          <w:rFonts w:ascii="Times New Roman" w:eastAsia="Times New Roman" w:hAnsi="Times New Roman" w:cs="Times New Roman"/>
          <w:bCs/>
          <w:sz w:val="24"/>
          <w:szCs w:val="24"/>
        </w:rPr>
        <w:t>006/115/EC</w:t>
      </w:r>
      <w:r w:rsidR="00487DA4">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for which the national court sought interpretation provides as follows:  </w:t>
      </w:r>
    </w:p>
    <w:p w:rsidR="00494D93" w:rsidRDefault="00494D93" w:rsidP="00494D93">
      <w:pPr>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
    <w:p w:rsidR="00494D93" w:rsidRDefault="00494D93" w:rsidP="00494D93">
      <w:pPr>
        <w:pStyle w:val="Szvegtrzs"/>
        <w:tabs>
          <w:tab w:val="left" w:pos="538"/>
        </w:tabs>
        <w:ind w:left="567"/>
        <w:jc w:val="both"/>
        <w:rPr>
          <w:rFonts w:cs="Times New Roman"/>
          <w:color w:val="231F20"/>
          <w:w w:val="105"/>
          <w:sz w:val="24"/>
          <w:szCs w:val="24"/>
        </w:rPr>
      </w:pPr>
      <w:r>
        <w:rPr>
          <w:rFonts w:cs="Times New Roman"/>
          <w:color w:val="231F20"/>
          <w:w w:val="105"/>
          <w:sz w:val="24"/>
          <w:szCs w:val="24"/>
        </w:rPr>
        <w:t>Member</w:t>
      </w:r>
      <w:r>
        <w:rPr>
          <w:rFonts w:cs="Times New Roman"/>
          <w:color w:val="231F20"/>
          <w:spacing w:val="-3"/>
          <w:w w:val="105"/>
          <w:sz w:val="24"/>
          <w:szCs w:val="24"/>
        </w:rPr>
        <w:t xml:space="preserve"> </w:t>
      </w:r>
      <w:r>
        <w:rPr>
          <w:rFonts w:cs="Times New Roman"/>
          <w:color w:val="231F20"/>
          <w:w w:val="105"/>
          <w:sz w:val="24"/>
          <w:szCs w:val="24"/>
        </w:rPr>
        <w:t>States</w:t>
      </w:r>
      <w:r>
        <w:rPr>
          <w:rFonts w:cs="Times New Roman"/>
          <w:color w:val="231F20"/>
          <w:spacing w:val="-2"/>
          <w:w w:val="105"/>
          <w:sz w:val="24"/>
          <w:szCs w:val="24"/>
        </w:rPr>
        <w:t xml:space="preserve"> </w:t>
      </w:r>
      <w:r>
        <w:rPr>
          <w:rFonts w:cs="Times New Roman"/>
          <w:color w:val="231F20"/>
          <w:w w:val="105"/>
          <w:sz w:val="24"/>
          <w:szCs w:val="24"/>
        </w:rPr>
        <w:t>shall</w:t>
      </w:r>
      <w:r>
        <w:rPr>
          <w:rFonts w:cs="Times New Roman"/>
          <w:color w:val="231F20"/>
          <w:spacing w:val="-3"/>
          <w:w w:val="105"/>
          <w:sz w:val="24"/>
          <w:szCs w:val="24"/>
        </w:rPr>
        <w:t xml:space="preserve"> </w:t>
      </w:r>
      <w:r>
        <w:rPr>
          <w:rFonts w:cs="Times New Roman"/>
          <w:color w:val="231F20"/>
          <w:w w:val="105"/>
          <w:sz w:val="24"/>
          <w:szCs w:val="24"/>
        </w:rPr>
        <w:t>provide</w:t>
      </w:r>
      <w:r>
        <w:rPr>
          <w:rFonts w:cs="Times New Roman"/>
          <w:color w:val="231F20"/>
          <w:spacing w:val="-2"/>
          <w:w w:val="105"/>
          <w:sz w:val="24"/>
          <w:szCs w:val="24"/>
        </w:rPr>
        <w:t xml:space="preserve"> </w:t>
      </w:r>
      <w:r>
        <w:rPr>
          <w:rFonts w:cs="Times New Roman"/>
          <w:i/>
          <w:color w:val="231F20"/>
          <w:w w:val="105"/>
          <w:sz w:val="24"/>
          <w:szCs w:val="24"/>
        </w:rPr>
        <w:t>a</w:t>
      </w:r>
      <w:r>
        <w:rPr>
          <w:rFonts w:cs="Times New Roman"/>
          <w:i/>
          <w:color w:val="231F20"/>
          <w:spacing w:val="-3"/>
          <w:w w:val="105"/>
          <w:sz w:val="24"/>
          <w:szCs w:val="24"/>
        </w:rPr>
        <w:t xml:space="preserve"> </w:t>
      </w:r>
      <w:r>
        <w:rPr>
          <w:rFonts w:cs="Times New Roman"/>
          <w:i/>
          <w:color w:val="231F20"/>
          <w:w w:val="105"/>
          <w:sz w:val="24"/>
          <w:szCs w:val="24"/>
        </w:rPr>
        <w:t>right</w:t>
      </w:r>
      <w:r>
        <w:rPr>
          <w:rFonts w:cs="Times New Roman"/>
          <w:color w:val="231F20"/>
          <w:spacing w:val="-2"/>
          <w:w w:val="105"/>
          <w:sz w:val="24"/>
          <w:szCs w:val="24"/>
        </w:rPr>
        <w:t xml:space="preserve"> </w:t>
      </w:r>
      <w:r>
        <w:rPr>
          <w:rFonts w:cs="Times New Roman"/>
          <w:color w:val="231F20"/>
          <w:w w:val="105"/>
          <w:sz w:val="24"/>
          <w:szCs w:val="24"/>
        </w:rPr>
        <w:t>in</w:t>
      </w:r>
      <w:r>
        <w:rPr>
          <w:rFonts w:cs="Times New Roman"/>
          <w:color w:val="231F20"/>
          <w:spacing w:val="-3"/>
          <w:w w:val="105"/>
          <w:sz w:val="24"/>
          <w:szCs w:val="24"/>
        </w:rPr>
        <w:t xml:space="preserve"> </w:t>
      </w:r>
      <w:r>
        <w:rPr>
          <w:rFonts w:cs="Times New Roman"/>
          <w:color w:val="231F20"/>
          <w:w w:val="105"/>
          <w:sz w:val="24"/>
          <w:szCs w:val="24"/>
        </w:rPr>
        <w:t>order</w:t>
      </w:r>
      <w:r>
        <w:rPr>
          <w:rFonts w:cs="Times New Roman"/>
          <w:color w:val="231F20"/>
          <w:spacing w:val="-2"/>
          <w:w w:val="105"/>
          <w:sz w:val="24"/>
          <w:szCs w:val="24"/>
        </w:rPr>
        <w:t xml:space="preserve"> </w:t>
      </w:r>
      <w:r>
        <w:rPr>
          <w:rFonts w:cs="Times New Roman"/>
          <w:i/>
          <w:color w:val="231F20"/>
          <w:w w:val="105"/>
          <w:sz w:val="24"/>
          <w:szCs w:val="24"/>
        </w:rPr>
        <w:t>to</w:t>
      </w:r>
      <w:r>
        <w:rPr>
          <w:rFonts w:cs="Times New Roman"/>
          <w:i/>
          <w:color w:val="231F20"/>
          <w:spacing w:val="-3"/>
          <w:w w:val="105"/>
          <w:sz w:val="24"/>
          <w:szCs w:val="24"/>
        </w:rPr>
        <w:t xml:space="preserve"> </w:t>
      </w:r>
      <w:r>
        <w:rPr>
          <w:rFonts w:cs="Times New Roman"/>
          <w:i/>
          <w:color w:val="231F20"/>
          <w:w w:val="105"/>
          <w:sz w:val="24"/>
          <w:szCs w:val="24"/>
        </w:rPr>
        <w:t>ensure</w:t>
      </w:r>
      <w:r>
        <w:rPr>
          <w:rFonts w:cs="Times New Roman"/>
          <w:i/>
          <w:color w:val="231F20"/>
          <w:spacing w:val="-2"/>
          <w:w w:val="105"/>
          <w:sz w:val="24"/>
          <w:szCs w:val="24"/>
        </w:rPr>
        <w:t xml:space="preserve"> </w:t>
      </w:r>
      <w:r>
        <w:rPr>
          <w:rFonts w:cs="Times New Roman"/>
          <w:i/>
          <w:color w:val="231F20"/>
          <w:w w:val="105"/>
          <w:sz w:val="24"/>
          <w:szCs w:val="24"/>
        </w:rPr>
        <w:t>that</w:t>
      </w:r>
      <w:r>
        <w:rPr>
          <w:rFonts w:cs="Times New Roman"/>
          <w:color w:val="231F20"/>
          <w:w w:val="109"/>
          <w:sz w:val="24"/>
          <w:szCs w:val="24"/>
        </w:rPr>
        <w:t xml:space="preserve"> </w:t>
      </w:r>
      <w:r>
        <w:rPr>
          <w:rFonts w:cs="Times New Roman"/>
          <w:i/>
          <w:color w:val="231F20"/>
          <w:w w:val="105"/>
          <w:sz w:val="24"/>
          <w:szCs w:val="24"/>
        </w:rPr>
        <w:t>a</w:t>
      </w:r>
      <w:r>
        <w:rPr>
          <w:rFonts w:cs="Times New Roman"/>
          <w:i/>
          <w:color w:val="231F20"/>
          <w:spacing w:val="9"/>
          <w:w w:val="105"/>
          <w:sz w:val="24"/>
          <w:szCs w:val="24"/>
        </w:rPr>
        <w:t xml:space="preserve"> </w:t>
      </w:r>
      <w:r>
        <w:rPr>
          <w:rFonts w:cs="Times New Roman"/>
          <w:i/>
          <w:color w:val="231F20"/>
          <w:w w:val="105"/>
          <w:sz w:val="24"/>
          <w:szCs w:val="24"/>
        </w:rPr>
        <w:t>single</w:t>
      </w:r>
      <w:r>
        <w:rPr>
          <w:rFonts w:cs="Times New Roman"/>
          <w:i/>
          <w:color w:val="231F20"/>
          <w:spacing w:val="9"/>
          <w:w w:val="105"/>
          <w:sz w:val="24"/>
          <w:szCs w:val="24"/>
        </w:rPr>
        <w:t xml:space="preserve"> </w:t>
      </w:r>
      <w:r>
        <w:rPr>
          <w:rFonts w:cs="Times New Roman"/>
          <w:i/>
          <w:color w:val="231F20"/>
          <w:w w:val="105"/>
          <w:sz w:val="24"/>
          <w:szCs w:val="24"/>
        </w:rPr>
        <w:t>equitable</w:t>
      </w:r>
      <w:r>
        <w:rPr>
          <w:rFonts w:cs="Times New Roman"/>
          <w:i/>
          <w:color w:val="231F20"/>
          <w:spacing w:val="9"/>
          <w:w w:val="105"/>
          <w:sz w:val="24"/>
          <w:szCs w:val="24"/>
        </w:rPr>
        <w:t xml:space="preserve"> </w:t>
      </w:r>
      <w:r>
        <w:rPr>
          <w:rFonts w:cs="Times New Roman"/>
          <w:i/>
          <w:color w:val="231F20"/>
          <w:w w:val="105"/>
          <w:sz w:val="24"/>
          <w:szCs w:val="24"/>
        </w:rPr>
        <w:t>remuneration</w:t>
      </w:r>
      <w:r>
        <w:rPr>
          <w:rFonts w:cs="Times New Roman"/>
          <w:color w:val="231F20"/>
          <w:spacing w:val="9"/>
          <w:w w:val="105"/>
          <w:sz w:val="24"/>
          <w:szCs w:val="24"/>
        </w:rPr>
        <w:t xml:space="preserve"> </w:t>
      </w:r>
      <w:r>
        <w:rPr>
          <w:rFonts w:cs="Times New Roman"/>
          <w:i/>
          <w:color w:val="231F20"/>
          <w:w w:val="105"/>
          <w:sz w:val="24"/>
          <w:szCs w:val="24"/>
        </w:rPr>
        <w:t>is</w:t>
      </w:r>
      <w:r>
        <w:rPr>
          <w:rFonts w:cs="Times New Roman"/>
          <w:i/>
          <w:color w:val="231F20"/>
          <w:spacing w:val="9"/>
          <w:w w:val="105"/>
          <w:sz w:val="24"/>
          <w:szCs w:val="24"/>
        </w:rPr>
        <w:t xml:space="preserve"> </w:t>
      </w:r>
      <w:r>
        <w:rPr>
          <w:rFonts w:cs="Times New Roman"/>
          <w:i/>
          <w:color w:val="231F20"/>
          <w:w w:val="105"/>
          <w:sz w:val="24"/>
          <w:szCs w:val="24"/>
        </w:rPr>
        <w:t>paid</w:t>
      </w:r>
      <w:r>
        <w:rPr>
          <w:rFonts w:cs="Times New Roman"/>
          <w:i/>
          <w:color w:val="231F20"/>
          <w:spacing w:val="9"/>
          <w:w w:val="105"/>
          <w:sz w:val="24"/>
          <w:szCs w:val="24"/>
        </w:rPr>
        <w:t xml:space="preserve"> </w:t>
      </w:r>
      <w:r>
        <w:rPr>
          <w:rFonts w:cs="Times New Roman"/>
          <w:i/>
          <w:color w:val="231F20"/>
          <w:w w:val="105"/>
          <w:sz w:val="24"/>
          <w:szCs w:val="24"/>
        </w:rPr>
        <w:t>by</w:t>
      </w:r>
      <w:r>
        <w:rPr>
          <w:rFonts w:cs="Times New Roman"/>
          <w:i/>
          <w:color w:val="231F20"/>
          <w:spacing w:val="9"/>
          <w:w w:val="105"/>
          <w:sz w:val="24"/>
          <w:szCs w:val="24"/>
        </w:rPr>
        <w:t xml:space="preserve"> </w:t>
      </w:r>
      <w:r>
        <w:rPr>
          <w:rFonts w:cs="Times New Roman"/>
          <w:i/>
          <w:color w:val="231F20"/>
          <w:w w:val="105"/>
          <w:sz w:val="24"/>
          <w:szCs w:val="24"/>
        </w:rPr>
        <w:t>the</w:t>
      </w:r>
      <w:r>
        <w:rPr>
          <w:rFonts w:cs="Times New Roman"/>
          <w:i/>
          <w:color w:val="231F20"/>
          <w:spacing w:val="9"/>
          <w:w w:val="105"/>
          <w:sz w:val="24"/>
          <w:szCs w:val="24"/>
        </w:rPr>
        <w:t xml:space="preserve"> </w:t>
      </w:r>
      <w:r>
        <w:rPr>
          <w:rFonts w:cs="Times New Roman"/>
          <w:i/>
          <w:color w:val="231F20"/>
          <w:w w:val="105"/>
          <w:sz w:val="24"/>
          <w:szCs w:val="24"/>
        </w:rPr>
        <w:t>user</w:t>
      </w:r>
      <w:r>
        <w:rPr>
          <w:rFonts w:cs="Times New Roman"/>
          <w:color w:val="231F20"/>
          <w:w w:val="105"/>
          <w:sz w:val="24"/>
          <w:szCs w:val="24"/>
        </w:rPr>
        <w:t>,</w:t>
      </w:r>
      <w:r>
        <w:rPr>
          <w:rFonts w:cs="Times New Roman"/>
          <w:color w:val="231F20"/>
          <w:spacing w:val="9"/>
          <w:w w:val="105"/>
          <w:sz w:val="24"/>
          <w:szCs w:val="24"/>
        </w:rPr>
        <w:t xml:space="preserve"> </w:t>
      </w:r>
      <w:r>
        <w:rPr>
          <w:rFonts w:cs="Times New Roman"/>
          <w:color w:val="231F20"/>
          <w:w w:val="105"/>
          <w:sz w:val="24"/>
          <w:szCs w:val="24"/>
        </w:rPr>
        <w:t>if</w:t>
      </w:r>
      <w:r>
        <w:rPr>
          <w:rFonts w:cs="Times New Roman"/>
          <w:color w:val="231F20"/>
          <w:spacing w:val="9"/>
          <w:w w:val="105"/>
          <w:sz w:val="24"/>
          <w:szCs w:val="24"/>
        </w:rPr>
        <w:t xml:space="preserve"> </w:t>
      </w:r>
      <w:r>
        <w:rPr>
          <w:rFonts w:cs="Times New Roman"/>
          <w:color w:val="231F20"/>
          <w:w w:val="105"/>
          <w:sz w:val="24"/>
          <w:szCs w:val="24"/>
        </w:rPr>
        <w:t>a</w:t>
      </w:r>
      <w:r>
        <w:rPr>
          <w:rFonts w:cs="Times New Roman"/>
          <w:color w:val="231F20"/>
          <w:spacing w:val="10"/>
          <w:w w:val="105"/>
          <w:sz w:val="24"/>
          <w:szCs w:val="24"/>
        </w:rPr>
        <w:t xml:space="preserve"> </w:t>
      </w:r>
      <w:r>
        <w:rPr>
          <w:rFonts w:cs="Times New Roman"/>
          <w:color w:val="231F20"/>
          <w:w w:val="105"/>
          <w:sz w:val="24"/>
          <w:szCs w:val="24"/>
        </w:rPr>
        <w:t>phonogram</w:t>
      </w:r>
      <w:r>
        <w:rPr>
          <w:rFonts w:cs="Times New Roman"/>
          <w:color w:val="231F20"/>
          <w:spacing w:val="16"/>
          <w:w w:val="105"/>
          <w:sz w:val="24"/>
          <w:szCs w:val="24"/>
        </w:rPr>
        <w:t xml:space="preserve"> </w:t>
      </w:r>
      <w:r>
        <w:rPr>
          <w:rFonts w:cs="Times New Roman"/>
          <w:color w:val="231F20"/>
          <w:w w:val="105"/>
          <w:sz w:val="24"/>
          <w:szCs w:val="24"/>
        </w:rPr>
        <w:t>published</w:t>
      </w:r>
      <w:r>
        <w:rPr>
          <w:rFonts w:cs="Times New Roman"/>
          <w:color w:val="231F20"/>
          <w:spacing w:val="17"/>
          <w:w w:val="105"/>
          <w:sz w:val="24"/>
          <w:szCs w:val="24"/>
        </w:rPr>
        <w:t xml:space="preserve"> </w:t>
      </w:r>
      <w:r>
        <w:rPr>
          <w:rFonts w:cs="Times New Roman"/>
          <w:color w:val="231F20"/>
          <w:w w:val="105"/>
          <w:sz w:val="24"/>
          <w:szCs w:val="24"/>
        </w:rPr>
        <w:t>for</w:t>
      </w:r>
      <w:r>
        <w:rPr>
          <w:rFonts w:cs="Times New Roman"/>
          <w:color w:val="231F20"/>
          <w:spacing w:val="17"/>
          <w:w w:val="105"/>
          <w:sz w:val="24"/>
          <w:szCs w:val="24"/>
        </w:rPr>
        <w:t xml:space="preserve"> </w:t>
      </w:r>
      <w:r>
        <w:rPr>
          <w:rFonts w:cs="Times New Roman"/>
          <w:color w:val="231F20"/>
          <w:w w:val="105"/>
          <w:sz w:val="24"/>
          <w:szCs w:val="24"/>
        </w:rPr>
        <w:t>commercial</w:t>
      </w:r>
      <w:r>
        <w:rPr>
          <w:rFonts w:cs="Times New Roman"/>
          <w:color w:val="231F20"/>
          <w:spacing w:val="17"/>
          <w:w w:val="105"/>
          <w:sz w:val="24"/>
          <w:szCs w:val="24"/>
        </w:rPr>
        <w:t xml:space="preserve"> </w:t>
      </w:r>
      <w:r>
        <w:rPr>
          <w:rFonts w:cs="Times New Roman"/>
          <w:color w:val="231F20"/>
          <w:w w:val="105"/>
          <w:sz w:val="24"/>
          <w:szCs w:val="24"/>
        </w:rPr>
        <w:t>purposes,</w:t>
      </w:r>
      <w:r>
        <w:rPr>
          <w:rFonts w:cs="Times New Roman"/>
          <w:color w:val="231F20"/>
          <w:spacing w:val="17"/>
          <w:w w:val="105"/>
          <w:sz w:val="24"/>
          <w:szCs w:val="24"/>
        </w:rPr>
        <w:t xml:space="preserve"> </w:t>
      </w:r>
      <w:r>
        <w:rPr>
          <w:rFonts w:cs="Times New Roman"/>
          <w:color w:val="231F20"/>
          <w:w w:val="105"/>
          <w:sz w:val="24"/>
          <w:szCs w:val="24"/>
        </w:rPr>
        <w:t>or</w:t>
      </w:r>
      <w:r>
        <w:rPr>
          <w:rFonts w:cs="Times New Roman"/>
          <w:color w:val="231F20"/>
          <w:spacing w:val="17"/>
          <w:w w:val="105"/>
          <w:sz w:val="24"/>
          <w:szCs w:val="24"/>
        </w:rPr>
        <w:t xml:space="preserve"> </w:t>
      </w:r>
      <w:r>
        <w:rPr>
          <w:rFonts w:cs="Times New Roman"/>
          <w:color w:val="231F20"/>
          <w:w w:val="105"/>
          <w:sz w:val="24"/>
          <w:szCs w:val="24"/>
        </w:rPr>
        <w:t>a</w:t>
      </w:r>
      <w:r>
        <w:rPr>
          <w:rFonts w:cs="Times New Roman"/>
          <w:color w:val="231F20"/>
          <w:spacing w:val="17"/>
          <w:w w:val="105"/>
          <w:sz w:val="24"/>
          <w:szCs w:val="24"/>
        </w:rPr>
        <w:t xml:space="preserve"> </w:t>
      </w:r>
      <w:r>
        <w:rPr>
          <w:rFonts w:cs="Times New Roman"/>
          <w:color w:val="231F20"/>
          <w:w w:val="105"/>
          <w:sz w:val="24"/>
          <w:szCs w:val="24"/>
        </w:rPr>
        <w:t>reproduction</w:t>
      </w:r>
      <w:r>
        <w:rPr>
          <w:rFonts w:cs="Times New Roman"/>
          <w:color w:val="231F20"/>
          <w:spacing w:val="17"/>
          <w:w w:val="105"/>
          <w:sz w:val="24"/>
          <w:szCs w:val="24"/>
        </w:rPr>
        <w:t xml:space="preserve"> </w:t>
      </w:r>
      <w:r>
        <w:rPr>
          <w:rFonts w:cs="Times New Roman"/>
          <w:color w:val="231F20"/>
          <w:w w:val="105"/>
          <w:sz w:val="24"/>
          <w:szCs w:val="24"/>
        </w:rPr>
        <w:t>of</w:t>
      </w:r>
      <w:r>
        <w:rPr>
          <w:rFonts w:cs="Times New Roman"/>
          <w:color w:val="231F20"/>
          <w:w w:val="103"/>
          <w:sz w:val="24"/>
          <w:szCs w:val="24"/>
        </w:rPr>
        <w:t xml:space="preserve"> </w:t>
      </w:r>
      <w:r>
        <w:rPr>
          <w:rFonts w:cs="Times New Roman"/>
          <w:color w:val="231F20"/>
          <w:w w:val="105"/>
          <w:sz w:val="24"/>
          <w:szCs w:val="24"/>
        </w:rPr>
        <w:t>such</w:t>
      </w:r>
      <w:r>
        <w:rPr>
          <w:rFonts w:cs="Times New Roman"/>
          <w:color w:val="231F20"/>
          <w:spacing w:val="5"/>
          <w:w w:val="105"/>
          <w:sz w:val="24"/>
          <w:szCs w:val="24"/>
        </w:rPr>
        <w:t xml:space="preserve"> </w:t>
      </w:r>
      <w:r>
        <w:rPr>
          <w:rFonts w:cs="Times New Roman"/>
          <w:color w:val="231F20"/>
          <w:w w:val="105"/>
          <w:sz w:val="24"/>
          <w:szCs w:val="24"/>
        </w:rPr>
        <w:t>phonogram,</w:t>
      </w:r>
      <w:r>
        <w:rPr>
          <w:rFonts w:cs="Times New Roman"/>
          <w:color w:val="231F20"/>
          <w:spacing w:val="6"/>
          <w:w w:val="105"/>
          <w:sz w:val="24"/>
          <w:szCs w:val="24"/>
        </w:rPr>
        <w:t xml:space="preserve"> </w:t>
      </w:r>
      <w:r>
        <w:rPr>
          <w:rFonts w:cs="Times New Roman"/>
          <w:color w:val="231F20"/>
          <w:w w:val="105"/>
          <w:sz w:val="24"/>
          <w:szCs w:val="24"/>
        </w:rPr>
        <w:t>is</w:t>
      </w:r>
      <w:r>
        <w:rPr>
          <w:rFonts w:cs="Times New Roman"/>
          <w:color w:val="231F20"/>
          <w:spacing w:val="6"/>
          <w:w w:val="105"/>
          <w:sz w:val="24"/>
          <w:szCs w:val="24"/>
        </w:rPr>
        <w:t xml:space="preserve"> </w:t>
      </w:r>
      <w:r>
        <w:rPr>
          <w:rFonts w:cs="Times New Roman"/>
          <w:color w:val="231F20"/>
          <w:w w:val="105"/>
          <w:sz w:val="24"/>
          <w:szCs w:val="24"/>
        </w:rPr>
        <w:t>used</w:t>
      </w:r>
      <w:r>
        <w:rPr>
          <w:rFonts w:cs="Times New Roman"/>
          <w:color w:val="231F20"/>
          <w:spacing w:val="6"/>
          <w:w w:val="105"/>
          <w:sz w:val="24"/>
          <w:szCs w:val="24"/>
        </w:rPr>
        <w:t xml:space="preserve"> </w:t>
      </w:r>
      <w:r>
        <w:rPr>
          <w:rFonts w:cs="Times New Roman"/>
          <w:color w:val="231F20"/>
          <w:w w:val="105"/>
          <w:sz w:val="24"/>
          <w:szCs w:val="24"/>
        </w:rPr>
        <w:t>for</w:t>
      </w:r>
      <w:r>
        <w:rPr>
          <w:rFonts w:cs="Times New Roman"/>
          <w:color w:val="231F20"/>
          <w:spacing w:val="6"/>
          <w:w w:val="105"/>
          <w:sz w:val="24"/>
          <w:szCs w:val="24"/>
        </w:rPr>
        <w:t xml:space="preserve"> </w:t>
      </w:r>
      <w:r>
        <w:rPr>
          <w:rFonts w:cs="Times New Roman"/>
          <w:color w:val="231F20"/>
          <w:w w:val="105"/>
          <w:sz w:val="24"/>
          <w:szCs w:val="24"/>
        </w:rPr>
        <w:t>broadcasting</w:t>
      </w:r>
      <w:r>
        <w:rPr>
          <w:rFonts w:cs="Times New Roman"/>
          <w:color w:val="231F20"/>
          <w:spacing w:val="6"/>
          <w:w w:val="105"/>
          <w:sz w:val="24"/>
          <w:szCs w:val="24"/>
        </w:rPr>
        <w:t xml:space="preserve"> </w:t>
      </w:r>
      <w:r>
        <w:rPr>
          <w:rFonts w:cs="Times New Roman"/>
          <w:color w:val="231F20"/>
          <w:w w:val="105"/>
          <w:sz w:val="24"/>
          <w:szCs w:val="24"/>
        </w:rPr>
        <w:t>by</w:t>
      </w:r>
      <w:r>
        <w:rPr>
          <w:rFonts w:cs="Times New Roman"/>
          <w:color w:val="231F20"/>
          <w:spacing w:val="5"/>
          <w:w w:val="105"/>
          <w:sz w:val="24"/>
          <w:szCs w:val="24"/>
        </w:rPr>
        <w:t xml:space="preserve"> </w:t>
      </w:r>
      <w:r>
        <w:rPr>
          <w:rFonts w:cs="Times New Roman"/>
          <w:color w:val="231F20"/>
          <w:w w:val="105"/>
          <w:sz w:val="24"/>
          <w:szCs w:val="24"/>
        </w:rPr>
        <w:t>wireless</w:t>
      </w:r>
      <w:r>
        <w:rPr>
          <w:rFonts w:cs="Times New Roman"/>
          <w:color w:val="231F20"/>
          <w:spacing w:val="6"/>
          <w:w w:val="105"/>
          <w:sz w:val="24"/>
          <w:szCs w:val="24"/>
        </w:rPr>
        <w:t xml:space="preserve"> </w:t>
      </w:r>
      <w:r>
        <w:rPr>
          <w:rFonts w:cs="Times New Roman"/>
          <w:color w:val="231F20"/>
          <w:w w:val="105"/>
          <w:sz w:val="24"/>
          <w:szCs w:val="24"/>
        </w:rPr>
        <w:t>means</w:t>
      </w:r>
      <w:r>
        <w:rPr>
          <w:rFonts w:cs="Times New Roman"/>
          <w:color w:val="231F20"/>
          <w:spacing w:val="6"/>
          <w:w w:val="105"/>
          <w:sz w:val="24"/>
          <w:szCs w:val="24"/>
        </w:rPr>
        <w:t xml:space="preserve"> </w:t>
      </w:r>
      <w:r>
        <w:rPr>
          <w:rFonts w:cs="Times New Roman"/>
          <w:color w:val="231F20"/>
          <w:w w:val="105"/>
          <w:sz w:val="24"/>
          <w:szCs w:val="24"/>
        </w:rPr>
        <w:t>or</w:t>
      </w:r>
      <w:r>
        <w:rPr>
          <w:rFonts w:cs="Times New Roman"/>
          <w:color w:val="231F20"/>
          <w:w w:val="110"/>
          <w:sz w:val="24"/>
          <w:szCs w:val="24"/>
        </w:rPr>
        <w:t xml:space="preserve"> </w:t>
      </w:r>
      <w:r>
        <w:rPr>
          <w:rFonts w:cs="Times New Roman"/>
          <w:color w:val="231F20"/>
          <w:w w:val="105"/>
          <w:sz w:val="24"/>
          <w:szCs w:val="24"/>
        </w:rPr>
        <w:t>for</w:t>
      </w:r>
      <w:r>
        <w:rPr>
          <w:rFonts w:cs="Times New Roman"/>
          <w:color w:val="231F20"/>
          <w:spacing w:val="29"/>
          <w:w w:val="105"/>
          <w:sz w:val="24"/>
          <w:szCs w:val="24"/>
        </w:rPr>
        <w:t xml:space="preserve"> </w:t>
      </w:r>
      <w:r>
        <w:rPr>
          <w:rFonts w:cs="Times New Roman"/>
          <w:color w:val="231F20"/>
          <w:w w:val="105"/>
          <w:sz w:val="24"/>
          <w:szCs w:val="24"/>
        </w:rPr>
        <w:t>any</w:t>
      </w:r>
      <w:r>
        <w:rPr>
          <w:rFonts w:cs="Times New Roman"/>
          <w:color w:val="231F20"/>
          <w:spacing w:val="29"/>
          <w:w w:val="105"/>
          <w:sz w:val="24"/>
          <w:szCs w:val="24"/>
        </w:rPr>
        <w:t xml:space="preserve"> </w:t>
      </w:r>
      <w:r>
        <w:rPr>
          <w:rFonts w:cs="Times New Roman"/>
          <w:color w:val="231F20"/>
          <w:w w:val="105"/>
          <w:sz w:val="24"/>
          <w:szCs w:val="24"/>
        </w:rPr>
        <w:t>communication</w:t>
      </w:r>
      <w:r>
        <w:rPr>
          <w:rFonts w:cs="Times New Roman"/>
          <w:color w:val="231F20"/>
          <w:spacing w:val="30"/>
          <w:w w:val="105"/>
          <w:sz w:val="24"/>
          <w:szCs w:val="24"/>
        </w:rPr>
        <w:t xml:space="preserve"> </w:t>
      </w:r>
      <w:r>
        <w:rPr>
          <w:rFonts w:cs="Times New Roman"/>
          <w:color w:val="231F20"/>
          <w:w w:val="105"/>
          <w:sz w:val="24"/>
          <w:szCs w:val="24"/>
        </w:rPr>
        <w:t>to</w:t>
      </w:r>
      <w:r>
        <w:rPr>
          <w:rFonts w:cs="Times New Roman"/>
          <w:color w:val="231F20"/>
          <w:spacing w:val="29"/>
          <w:w w:val="105"/>
          <w:sz w:val="24"/>
          <w:szCs w:val="24"/>
        </w:rPr>
        <w:t xml:space="preserve"> </w:t>
      </w:r>
      <w:r>
        <w:rPr>
          <w:rFonts w:cs="Times New Roman"/>
          <w:color w:val="231F20"/>
          <w:w w:val="105"/>
          <w:sz w:val="24"/>
          <w:szCs w:val="24"/>
        </w:rPr>
        <w:t>the</w:t>
      </w:r>
      <w:r>
        <w:rPr>
          <w:rFonts w:cs="Times New Roman"/>
          <w:color w:val="231F20"/>
          <w:spacing w:val="29"/>
          <w:w w:val="105"/>
          <w:sz w:val="24"/>
          <w:szCs w:val="24"/>
        </w:rPr>
        <w:t xml:space="preserve"> </w:t>
      </w:r>
      <w:r>
        <w:rPr>
          <w:rFonts w:cs="Times New Roman"/>
          <w:color w:val="231F20"/>
          <w:w w:val="105"/>
          <w:sz w:val="24"/>
          <w:szCs w:val="24"/>
        </w:rPr>
        <w:t>public,</w:t>
      </w:r>
      <w:r>
        <w:rPr>
          <w:rFonts w:cs="Times New Roman"/>
          <w:color w:val="231F20"/>
          <w:spacing w:val="30"/>
          <w:w w:val="105"/>
          <w:sz w:val="24"/>
          <w:szCs w:val="24"/>
        </w:rPr>
        <w:t xml:space="preserve"> </w:t>
      </w:r>
      <w:r>
        <w:rPr>
          <w:rFonts w:cs="Times New Roman"/>
          <w:i/>
          <w:color w:val="231F20"/>
          <w:w w:val="105"/>
          <w:sz w:val="24"/>
          <w:szCs w:val="24"/>
        </w:rPr>
        <w:t>and</w:t>
      </w:r>
      <w:r>
        <w:rPr>
          <w:rFonts w:cs="Times New Roman"/>
          <w:i/>
          <w:color w:val="231F20"/>
          <w:spacing w:val="29"/>
          <w:w w:val="105"/>
          <w:sz w:val="24"/>
          <w:szCs w:val="24"/>
        </w:rPr>
        <w:t xml:space="preserve"> </w:t>
      </w:r>
      <w:r>
        <w:rPr>
          <w:rFonts w:cs="Times New Roman"/>
          <w:i/>
          <w:color w:val="231F20"/>
          <w:w w:val="105"/>
          <w:sz w:val="24"/>
          <w:szCs w:val="24"/>
        </w:rPr>
        <w:t>to</w:t>
      </w:r>
      <w:r>
        <w:rPr>
          <w:rFonts w:cs="Times New Roman"/>
          <w:i/>
          <w:color w:val="231F20"/>
          <w:spacing w:val="29"/>
          <w:w w:val="105"/>
          <w:sz w:val="24"/>
          <w:szCs w:val="24"/>
        </w:rPr>
        <w:t xml:space="preserve"> </w:t>
      </w:r>
      <w:r>
        <w:rPr>
          <w:rFonts w:cs="Times New Roman"/>
          <w:i/>
          <w:color w:val="231F20"/>
          <w:w w:val="105"/>
          <w:sz w:val="24"/>
          <w:szCs w:val="24"/>
        </w:rPr>
        <w:t>ensure</w:t>
      </w:r>
      <w:r>
        <w:rPr>
          <w:rFonts w:cs="Times New Roman"/>
          <w:i/>
          <w:color w:val="231F20"/>
          <w:spacing w:val="30"/>
          <w:w w:val="105"/>
          <w:sz w:val="24"/>
          <w:szCs w:val="24"/>
        </w:rPr>
        <w:t xml:space="preserve"> </w:t>
      </w:r>
      <w:r>
        <w:rPr>
          <w:rFonts w:cs="Times New Roman"/>
          <w:i/>
          <w:color w:val="231F20"/>
          <w:w w:val="105"/>
          <w:sz w:val="24"/>
          <w:szCs w:val="24"/>
        </w:rPr>
        <w:t>that</w:t>
      </w:r>
      <w:r>
        <w:rPr>
          <w:rFonts w:cs="Times New Roman"/>
          <w:i/>
          <w:color w:val="231F20"/>
          <w:spacing w:val="29"/>
          <w:w w:val="105"/>
          <w:sz w:val="24"/>
          <w:szCs w:val="24"/>
        </w:rPr>
        <w:t xml:space="preserve"> </w:t>
      </w:r>
      <w:r>
        <w:rPr>
          <w:rFonts w:cs="Times New Roman"/>
          <w:i/>
          <w:color w:val="231F20"/>
          <w:w w:val="105"/>
          <w:sz w:val="24"/>
          <w:szCs w:val="24"/>
        </w:rPr>
        <w:t xml:space="preserve">this </w:t>
      </w:r>
      <w:r>
        <w:rPr>
          <w:rFonts w:cs="Times New Roman"/>
          <w:i/>
          <w:color w:val="231F20"/>
          <w:spacing w:val="-1"/>
          <w:w w:val="105"/>
          <w:sz w:val="24"/>
          <w:szCs w:val="24"/>
        </w:rPr>
        <w:t>remuneration</w:t>
      </w:r>
      <w:r>
        <w:rPr>
          <w:rFonts w:cs="Times New Roman"/>
          <w:i/>
          <w:color w:val="231F20"/>
          <w:spacing w:val="-8"/>
          <w:w w:val="105"/>
          <w:sz w:val="24"/>
          <w:szCs w:val="24"/>
        </w:rPr>
        <w:t xml:space="preserve"> </w:t>
      </w:r>
      <w:r>
        <w:rPr>
          <w:rFonts w:cs="Times New Roman"/>
          <w:i/>
          <w:color w:val="231F20"/>
          <w:spacing w:val="-2"/>
          <w:w w:val="105"/>
          <w:sz w:val="24"/>
          <w:szCs w:val="24"/>
        </w:rPr>
        <w:t>is</w:t>
      </w:r>
      <w:r>
        <w:rPr>
          <w:rFonts w:cs="Times New Roman"/>
          <w:i/>
          <w:color w:val="231F20"/>
          <w:spacing w:val="-8"/>
          <w:w w:val="105"/>
          <w:sz w:val="24"/>
          <w:szCs w:val="24"/>
        </w:rPr>
        <w:t xml:space="preserve"> </w:t>
      </w:r>
      <w:r>
        <w:rPr>
          <w:rFonts w:cs="Times New Roman"/>
          <w:i/>
          <w:color w:val="231F20"/>
          <w:spacing w:val="-1"/>
          <w:w w:val="105"/>
          <w:sz w:val="24"/>
          <w:szCs w:val="24"/>
        </w:rPr>
        <w:t>shared</w:t>
      </w:r>
      <w:r>
        <w:rPr>
          <w:rFonts w:cs="Times New Roman"/>
          <w:i/>
          <w:color w:val="231F20"/>
          <w:spacing w:val="-7"/>
          <w:w w:val="105"/>
          <w:sz w:val="24"/>
          <w:szCs w:val="24"/>
        </w:rPr>
        <w:t xml:space="preserve"> </w:t>
      </w:r>
      <w:r>
        <w:rPr>
          <w:rFonts w:cs="Times New Roman"/>
          <w:i/>
          <w:color w:val="231F20"/>
          <w:spacing w:val="-1"/>
          <w:w w:val="105"/>
          <w:sz w:val="24"/>
          <w:szCs w:val="24"/>
        </w:rPr>
        <w:t>between</w:t>
      </w:r>
      <w:r>
        <w:rPr>
          <w:rFonts w:cs="Times New Roman"/>
          <w:i/>
          <w:color w:val="231F20"/>
          <w:spacing w:val="-8"/>
          <w:w w:val="105"/>
          <w:sz w:val="24"/>
          <w:szCs w:val="24"/>
        </w:rPr>
        <w:t xml:space="preserve"> </w:t>
      </w:r>
      <w:r>
        <w:rPr>
          <w:rFonts w:cs="Times New Roman"/>
          <w:i/>
          <w:color w:val="231F20"/>
          <w:spacing w:val="-1"/>
          <w:w w:val="105"/>
          <w:sz w:val="24"/>
          <w:szCs w:val="24"/>
        </w:rPr>
        <w:t>the</w:t>
      </w:r>
      <w:r>
        <w:rPr>
          <w:rFonts w:cs="Times New Roman"/>
          <w:i/>
          <w:color w:val="231F20"/>
          <w:spacing w:val="-7"/>
          <w:w w:val="105"/>
          <w:sz w:val="24"/>
          <w:szCs w:val="24"/>
        </w:rPr>
        <w:t xml:space="preserve"> </w:t>
      </w:r>
      <w:r>
        <w:rPr>
          <w:rFonts w:cs="Times New Roman"/>
          <w:i/>
          <w:color w:val="231F20"/>
          <w:spacing w:val="-1"/>
          <w:w w:val="105"/>
          <w:sz w:val="24"/>
          <w:szCs w:val="24"/>
        </w:rPr>
        <w:t>relevant</w:t>
      </w:r>
      <w:r>
        <w:rPr>
          <w:rFonts w:cs="Times New Roman"/>
          <w:i/>
          <w:color w:val="231F20"/>
          <w:spacing w:val="-8"/>
          <w:w w:val="105"/>
          <w:sz w:val="24"/>
          <w:szCs w:val="24"/>
        </w:rPr>
        <w:t xml:space="preserve"> </w:t>
      </w:r>
      <w:r>
        <w:rPr>
          <w:rFonts w:cs="Times New Roman"/>
          <w:i/>
          <w:color w:val="231F20"/>
          <w:spacing w:val="-1"/>
          <w:w w:val="105"/>
          <w:sz w:val="24"/>
          <w:szCs w:val="24"/>
        </w:rPr>
        <w:t>performers</w:t>
      </w:r>
      <w:r>
        <w:rPr>
          <w:rFonts w:cs="Times New Roman"/>
          <w:i/>
          <w:color w:val="231F20"/>
          <w:spacing w:val="-7"/>
          <w:w w:val="105"/>
          <w:sz w:val="24"/>
          <w:szCs w:val="24"/>
        </w:rPr>
        <w:t xml:space="preserve"> </w:t>
      </w:r>
      <w:r>
        <w:rPr>
          <w:rFonts w:cs="Times New Roman"/>
          <w:i/>
          <w:color w:val="231F20"/>
          <w:spacing w:val="-1"/>
          <w:w w:val="105"/>
          <w:sz w:val="24"/>
          <w:szCs w:val="24"/>
        </w:rPr>
        <w:t>and</w:t>
      </w:r>
      <w:r>
        <w:rPr>
          <w:rFonts w:cs="Times New Roman"/>
          <w:i/>
          <w:color w:val="231F20"/>
          <w:spacing w:val="-8"/>
          <w:w w:val="105"/>
          <w:sz w:val="24"/>
          <w:szCs w:val="24"/>
        </w:rPr>
        <w:t xml:space="preserve"> </w:t>
      </w:r>
      <w:r>
        <w:rPr>
          <w:rFonts w:cs="Times New Roman"/>
          <w:i/>
          <w:color w:val="231F20"/>
          <w:spacing w:val="-1"/>
          <w:w w:val="105"/>
          <w:sz w:val="24"/>
          <w:szCs w:val="24"/>
        </w:rPr>
        <w:t>pho</w:t>
      </w:r>
      <w:r>
        <w:rPr>
          <w:rFonts w:cs="Times New Roman"/>
          <w:i/>
          <w:color w:val="231F20"/>
          <w:w w:val="105"/>
          <w:sz w:val="24"/>
          <w:szCs w:val="24"/>
        </w:rPr>
        <w:t>nogram</w:t>
      </w:r>
      <w:r>
        <w:rPr>
          <w:rFonts w:cs="Times New Roman"/>
          <w:i/>
          <w:color w:val="231F20"/>
          <w:spacing w:val="-4"/>
          <w:w w:val="105"/>
          <w:sz w:val="24"/>
          <w:szCs w:val="24"/>
        </w:rPr>
        <w:t xml:space="preserve"> </w:t>
      </w:r>
      <w:r>
        <w:rPr>
          <w:rFonts w:cs="Times New Roman"/>
          <w:i/>
          <w:color w:val="231F20"/>
          <w:w w:val="105"/>
          <w:sz w:val="24"/>
          <w:szCs w:val="24"/>
        </w:rPr>
        <w:t>producers</w:t>
      </w:r>
      <w:r>
        <w:rPr>
          <w:rFonts w:cs="Times New Roman"/>
          <w:color w:val="231F20"/>
          <w:w w:val="105"/>
          <w:sz w:val="24"/>
          <w:szCs w:val="24"/>
        </w:rPr>
        <w:t>.</w:t>
      </w:r>
      <w:r>
        <w:rPr>
          <w:rFonts w:cs="Times New Roman"/>
          <w:color w:val="231F20"/>
          <w:spacing w:val="-4"/>
          <w:w w:val="105"/>
          <w:sz w:val="24"/>
          <w:szCs w:val="24"/>
        </w:rPr>
        <w:t xml:space="preserve"> </w:t>
      </w:r>
      <w:r>
        <w:rPr>
          <w:rFonts w:cs="Times New Roman"/>
          <w:color w:val="231F20"/>
          <w:w w:val="105"/>
          <w:sz w:val="24"/>
          <w:szCs w:val="24"/>
        </w:rPr>
        <w:t>Member</w:t>
      </w:r>
      <w:r>
        <w:rPr>
          <w:rFonts w:cs="Times New Roman"/>
          <w:color w:val="231F20"/>
          <w:spacing w:val="-3"/>
          <w:w w:val="105"/>
          <w:sz w:val="24"/>
          <w:szCs w:val="24"/>
        </w:rPr>
        <w:t xml:space="preserve"> </w:t>
      </w:r>
      <w:r>
        <w:rPr>
          <w:rFonts w:cs="Times New Roman"/>
          <w:color w:val="231F20"/>
          <w:w w:val="105"/>
          <w:sz w:val="24"/>
          <w:szCs w:val="24"/>
        </w:rPr>
        <w:t>States</w:t>
      </w:r>
      <w:r>
        <w:rPr>
          <w:rFonts w:cs="Times New Roman"/>
          <w:color w:val="231F20"/>
          <w:spacing w:val="-4"/>
          <w:w w:val="105"/>
          <w:sz w:val="24"/>
          <w:szCs w:val="24"/>
        </w:rPr>
        <w:t xml:space="preserve"> </w:t>
      </w:r>
      <w:r>
        <w:rPr>
          <w:rFonts w:cs="Times New Roman"/>
          <w:color w:val="231F20"/>
          <w:w w:val="105"/>
          <w:sz w:val="24"/>
          <w:szCs w:val="24"/>
        </w:rPr>
        <w:t>may,</w:t>
      </w:r>
      <w:r>
        <w:rPr>
          <w:rFonts w:cs="Times New Roman"/>
          <w:color w:val="231F20"/>
          <w:spacing w:val="-3"/>
          <w:w w:val="105"/>
          <w:sz w:val="24"/>
          <w:szCs w:val="24"/>
        </w:rPr>
        <w:t xml:space="preserve"> </w:t>
      </w:r>
      <w:r>
        <w:rPr>
          <w:rFonts w:cs="Times New Roman"/>
          <w:color w:val="231F20"/>
          <w:w w:val="105"/>
          <w:sz w:val="24"/>
          <w:szCs w:val="24"/>
        </w:rPr>
        <w:t>in</w:t>
      </w:r>
      <w:r>
        <w:rPr>
          <w:rFonts w:cs="Times New Roman"/>
          <w:color w:val="231F20"/>
          <w:spacing w:val="-4"/>
          <w:w w:val="105"/>
          <w:sz w:val="24"/>
          <w:szCs w:val="24"/>
        </w:rPr>
        <w:t xml:space="preserve"> </w:t>
      </w:r>
      <w:r>
        <w:rPr>
          <w:rFonts w:cs="Times New Roman"/>
          <w:color w:val="231F20"/>
          <w:w w:val="105"/>
          <w:sz w:val="24"/>
          <w:szCs w:val="24"/>
        </w:rPr>
        <w:t>the</w:t>
      </w:r>
      <w:r>
        <w:rPr>
          <w:rFonts w:cs="Times New Roman"/>
          <w:color w:val="231F20"/>
          <w:spacing w:val="-3"/>
          <w:w w:val="105"/>
          <w:sz w:val="24"/>
          <w:szCs w:val="24"/>
        </w:rPr>
        <w:t xml:space="preserve"> </w:t>
      </w:r>
      <w:r>
        <w:rPr>
          <w:rFonts w:cs="Times New Roman"/>
          <w:color w:val="231F20"/>
          <w:w w:val="105"/>
          <w:sz w:val="24"/>
          <w:szCs w:val="24"/>
        </w:rPr>
        <w:t>absence</w:t>
      </w:r>
      <w:r>
        <w:rPr>
          <w:rFonts w:cs="Times New Roman"/>
          <w:color w:val="231F20"/>
          <w:spacing w:val="-4"/>
          <w:w w:val="105"/>
          <w:sz w:val="24"/>
          <w:szCs w:val="24"/>
        </w:rPr>
        <w:t xml:space="preserve"> </w:t>
      </w:r>
      <w:r>
        <w:rPr>
          <w:rFonts w:cs="Times New Roman"/>
          <w:color w:val="231F20"/>
          <w:w w:val="105"/>
          <w:sz w:val="24"/>
          <w:szCs w:val="24"/>
        </w:rPr>
        <w:t>of</w:t>
      </w:r>
      <w:r>
        <w:rPr>
          <w:rFonts w:cs="Times New Roman"/>
          <w:color w:val="231F20"/>
          <w:spacing w:val="-3"/>
          <w:w w:val="105"/>
          <w:sz w:val="24"/>
          <w:szCs w:val="24"/>
        </w:rPr>
        <w:t xml:space="preserve"> </w:t>
      </w:r>
      <w:r>
        <w:rPr>
          <w:rFonts w:cs="Times New Roman"/>
          <w:color w:val="231F20"/>
          <w:w w:val="105"/>
          <w:sz w:val="24"/>
          <w:szCs w:val="24"/>
        </w:rPr>
        <w:t>agreement</w:t>
      </w:r>
      <w:r>
        <w:rPr>
          <w:rFonts w:cs="Times New Roman"/>
          <w:color w:val="231F20"/>
          <w:spacing w:val="32"/>
          <w:w w:val="105"/>
          <w:sz w:val="24"/>
          <w:szCs w:val="24"/>
        </w:rPr>
        <w:t xml:space="preserve"> </w:t>
      </w:r>
      <w:r>
        <w:rPr>
          <w:rFonts w:cs="Times New Roman"/>
          <w:color w:val="231F20"/>
          <w:w w:val="105"/>
          <w:sz w:val="24"/>
          <w:szCs w:val="24"/>
        </w:rPr>
        <w:t>between</w:t>
      </w:r>
      <w:r>
        <w:rPr>
          <w:rFonts w:cs="Times New Roman"/>
          <w:color w:val="231F20"/>
          <w:spacing w:val="33"/>
          <w:w w:val="105"/>
          <w:sz w:val="24"/>
          <w:szCs w:val="24"/>
        </w:rPr>
        <w:t xml:space="preserve"> </w:t>
      </w:r>
      <w:r>
        <w:rPr>
          <w:rFonts w:cs="Times New Roman"/>
          <w:color w:val="231F20"/>
          <w:w w:val="105"/>
          <w:sz w:val="24"/>
          <w:szCs w:val="24"/>
        </w:rPr>
        <w:t>the</w:t>
      </w:r>
      <w:r>
        <w:rPr>
          <w:rFonts w:cs="Times New Roman"/>
          <w:color w:val="231F20"/>
          <w:spacing w:val="33"/>
          <w:w w:val="105"/>
          <w:sz w:val="24"/>
          <w:szCs w:val="24"/>
        </w:rPr>
        <w:t xml:space="preserve"> </w:t>
      </w:r>
      <w:r>
        <w:rPr>
          <w:rFonts w:cs="Times New Roman"/>
          <w:color w:val="231F20"/>
          <w:w w:val="105"/>
          <w:sz w:val="24"/>
          <w:szCs w:val="24"/>
        </w:rPr>
        <w:t>performers</w:t>
      </w:r>
      <w:r>
        <w:rPr>
          <w:rFonts w:cs="Times New Roman"/>
          <w:color w:val="231F20"/>
          <w:spacing w:val="33"/>
          <w:w w:val="105"/>
          <w:sz w:val="24"/>
          <w:szCs w:val="24"/>
        </w:rPr>
        <w:t xml:space="preserve"> </w:t>
      </w:r>
      <w:r>
        <w:rPr>
          <w:rFonts w:cs="Times New Roman"/>
          <w:color w:val="231F20"/>
          <w:w w:val="105"/>
          <w:sz w:val="24"/>
          <w:szCs w:val="24"/>
        </w:rPr>
        <w:t>and</w:t>
      </w:r>
      <w:r>
        <w:rPr>
          <w:rFonts w:cs="Times New Roman"/>
          <w:color w:val="231F20"/>
          <w:spacing w:val="33"/>
          <w:w w:val="105"/>
          <w:sz w:val="24"/>
          <w:szCs w:val="24"/>
        </w:rPr>
        <w:t xml:space="preserve"> </w:t>
      </w:r>
      <w:r>
        <w:rPr>
          <w:rFonts w:cs="Times New Roman"/>
          <w:color w:val="231F20"/>
          <w:w w:val="105"/>
          <w:sz w:val="24"/>
          <w:szCs w:val="24"/>
        </w:rPr>
        <w:t>phonogram</w:t>
      </w:r>
      <w:r>
        <w:rPr>
          <w:rFonts w:cs="Times New Roman"/>
          <w:color w:val="231F20"/>
          <w:spacing w:val="33"/>
          <w:w w:val="105"/>
          <w:sz w:val="24"/>
          <w:szCs w:val="24"/>
        </w:rPr>
        <w:t xml:space="preserve"> </w:t>
      </w:r>
      <w:r>
        <w:rPr>
          <w:rFonts w:cs="Times New Roman"/>
          <w:color w:val="231F20"/>
          <w:w w:val="105"/>
          <w:sz w:val="24"/>
          <w:szCs w:val="24"/>
        </w:rPr>
        <w:t>producers,</w:t>
      </w:r>
      <w:r>
        <w:rPr>
          <w:rFonts w:cs="Times New Roman"/>
          <w:color w:val="231F20"/>
          <w:spacing w:val="33"/>
          <w:w w:val="105"/>
          <w:sz w:val="24"/>
          <w:szCs w:val="24"/>
        </w:rPr>
        <w:t xml:space="preserve"> </w:t>
      </w:r>
      <w:r>
        <w:rPr>
          <w:rFonts w:cs="Times New Roman"/>
          <w:color w:val="231F20"/>
          <w:w w:val="105"/>
          <w:sz w:val="24"/>
          <w:szCs w:val="24"/>
        </w:rPr>
        <w:t>lay</w:t>
      </w:r>
      <w:r>
        <w:rPr>
          <w:rFonts w:cs="Times New Roman"/>
          <w:color w:val="231F20"/>
          <w:w w:val="98"/>
          <w:sz w:val="24"/>
          <w:szCs w:val="24"/>
        </w:rPr>
        <w:t xml:space="preserve"> </w:t>
      </w:r>
      <w:r>
        <w:rPr>
          <w:rFonts w:cs="Times New Roman"/>
          <w:color w:val="231F20"/>
          <w:w w:val="105"/>
          <w:sz w:val="24"/>
          <w:szCs w:val="24"/>
        </w:rPr>
        <w:t>down</w:t>
      </w:r>
      <w:r>
        <w:rPr>
          <w:rFonts w:cs="Times New Roman"/>
          <w:color w:val="231F20"/>
          <w:spacing w:val="43"/>
          <w:w w:val="105"/>
          <w:sz w:val="24"/>
          <w:szCs w:val="24"/>
        </w:rPr>
        <w:t xml:space="preserve"> </w:t>
      </w:r>
      <w:r>
        <w:rPr>
          <w:rFonts w:cs="Times New Roman"/>
          <w:color w:val="231F20"/>
          <w:w w:val="105"/>
          <w:sz w:val="24"/>
          <w:szCs w:val="24"/>
        </w:rPr>
        <w:t>the</w:t>
      </w:r>
      <w:r>
        <w:rPr>
          <w:rFonts w:cs="Times New Roman"/>
          <w:color w:val="231F20"/>
          <w:spacing w:val="44"/>
          <w:w w:val="105"/>
          <w:sz w:val="24"/>
          <w:szCs w:val="24"/>
        </w:rPr>
        <w:t xml:space="preserve"> </w:t>
      </w:r>
      <w:r>
        <w:rPr>
          <w:rFonts w:cs="Times New Roman"/>
          <w:color w:val="231F20"/>
          <w:w w:val="105"/>
          <w:sz w:val="24"/>
          <w:szCs w:val="24"/>
        </w:rPr>
        <w:t>conditions</w:t>
      </w:r>
      <w:r>
        <w:rPr>
          <w:rFonts w:cs="Times New Roman"/>
          <w:color w:val="231F20"/>
          <w:spacing w:val="44"/>
          <w:w w:val="105"/>
          <w:sz w:val="24"/>
          <w:szCs w:val="24"/>
        </w:rPr>
        <w:t xml:space="preserve"> </w:t>
      </w:r>
      <w:r>
        <w:rPr>
          <w:rFonts w:cs="Times New Roman"/>
          <w:color w:val="231F20"/>
          <w:w w:val="105"/>
          <w:sz w:val="24"/>
          <w:szCs w:val="24"/>
        </w:rPr>
        <w:t>as</w:t>
      </w:r>
      <w:r>
        <w:rPr>
          <w:rFonts w:cs="Times New Roman"/>
          <w:color w:val="231F20"/>
          <w:spacing w:val="44"/>
          <w:w w:val="105"/>
          <w:sz w:val="24"/>
          <w:szCs w:val="24"/>
        </w:rPr>
        <w:t xml:space="preserve"> </w:t>
      </w:r>
      <w:r>
        <w:rPr>
          <w:rFonts w:cs="Times New Roman"/>
          <w:color w:val="231F20"/>
          <w:w w:val="105"/>
          <w:sz w:val="24"/>
          <w:szCs w:val="24"/>
        </w:rPr>
        <w:t>to</w:t>
      </w:r>
      <w:r>
        <w:rPr>
          <w:rFonts w:cs="Times New Roman"/>
          <w:color w:val="231F20"/>
          <w:spacing w:val="43"/>
          <w:w w:val="105"/>
          <w:sz w:val="24"/>
          <w:szCs w:val="24"/>
        </w:rPr>
        <w:t xml:space="preserve"> </w:t>
      </w:r>
      <w:r>
        <w:rPr>
          <w:rFonts w:cs="Times New Roman"/>
          <w:color w:val="231F20"/>
          <w:w w:val="105"/>
          <w:sz w:val="24"/>
          <w:szCs w:val="24"/>
        </w:rPr>
        <w:t>the</w:t>
      </w:r>
      <w:r>
        <w:rPr>
          <w:rFonts w:cs="Times New Roman"/>
          <w:color w:val="231F20"/>
          <w:spacing w:val="44"/>
          <w:w w:val="105"/>
          <w:sz w:val="24"/>
          <w:szCs w:val="24"/>
        </w:rPr>
        <w:t xml:space="preserve"> </w:t>
      </w:r>
      <w:r>
        <w:rPr>
          <w:rFonts w:cs="Times New Roman"/>
          <w:color w:val="231F20"/>
          <w:w w:val="105"/>
          <w:sz w:val="24"/>
          <w:szCs w:val="24"/>
        </w:rPr>
        <w:t>sharing</w:t>
      </w:r>
      <w:r>
        <w:rPr>
          <w:rFonts w:cs="Times New Roman"/>
          <w:color w:val="231F20"/>
          <w:spacing w:val="44"/>
          <w:w w:val="105"/>
          <w:sz w:val="24"/>
          <w:szCs w:val="24"/>
        </w:rPr>
        <w:t xml:space="preserve"> </w:t>
      </w:r>
      <w:r>
        <w:rPr>
          <w:rFonts w:cs="Times New Roman"/>
          <w:color w:val="231F20"/>
          <w:w w:val="105"/>
          <w:sz w:val="24"/>
          <w:szCs w:val="24"/>
        </w:rPr>
        <w:t>of</w:t>
      </w:r>
      <w:r>
        <w:rPr>
          <w:rFonts w:cs="Times New Roman"/>
          <w:color w:val="231F20"/>
          <w:spacing w:val="44"/>
          <w:w w:val="105"/>
          <w:sz w:val="24"/>
          <w:szCs w:val="24"/>
        </w:rPr>
        <w:t xml:space="preserve"> </w:t>
      </w:r>
      <w:r>
        <w:rPr>
          <w:rFonts w:cs="Times New Roman"/>
          <w:color w:val="231F20"/>
          <w:w w:val="105"/>
          <w:sz w:val="24"/>
          <w:szCs w:val="24"/>
        </w:rPr>
        <w:t>this</w:t>
      </w:r>
      <w:r>
        <w:rPr>
          <w:rFonts w:cs="Times New Roman"/>
          <w:color w:val="231F20"/>
          <w:spacing w:val="44"/>
          <w:w w:val="105"/>
          <w:sz w:val="24"/>
          <w:szCs w:val="24"/>
        </w:rPr>
        <w:t xml:space="preserve"> </w:t>
      </w:r>
      <w:r>
        <w:rPr>
          <w:rFonts w:cs="Times New Roman"/>
          <w:color w:val="231F20"/>
          <w:w w:val="105"/>
          <w:sz w:val="24"/>
          <w:szCs w:val="24"/>
        </w:rPr>
        <w:t>remuneration</w:t>
      </w:r>
      <w:r>
        <w:rPr>
          <w:rFonts w:cs="Times New Roman"/>
          <w:color w:val="231F20"/>
          <w:w w:val="107"/>
          <w:sz w:val="24"/>
          <w:szCs w:val="24"/>
        </w:rPr>
        <w:t xml:space="preserve"> </w:t>
      </w:r>
      <w:r>
        <w:rPr>
          <w:rFonts w:cs="Times New Roman"/>
          <w:color w:val="231F20"/>
          <w:w w:val="105"/>
          <w:sz w:val="24"/>
          <w:szCs w:val="24"/>
        </w:rPr>
        <w:t>between</w:t>
      </w:r>
      <w:r>
        <w:rPr>
          <w:rFonts w:cs="Times New Roman"/>
          <w:color w:val="231F20"/>
          <w:spacing w:val="3"/>
          <w:w w:val="105"/>
          <w:sz w:val="24"/>
          <w:szCs w:val="24"/>
        </w:rPr>
        <w:t xml:space="preserve"> </w:t>
      </w:r>
      <w:r>
        <w:rPr>
          <w:rFonts w:cs="Times New Roman"/>
          <w:color w:val="231F20"/>
          <w:w w:val="105"/>
          <w:sz w:val="24"/>
          <w:szCs w:val="24"/>
        </w:rPr>
        <w:t xml:space="preserve">them. [Emphasis added.] </w:t>
      </w:r>
    </w:p>
    <w:p w:rsidR="00494D93" w:rsidRDefault="00494D93" w:rsidP="00494D93">
      <w:pPr>
        <w:pStyle w:val="Szvegtrzs"/>
        <w:tabs>
          <w:tab w:val="left" w:pos="538"/>
        </w:tabs>
        <w:ind w:left="567"/>
        <w:jc w:val="both"/>
        <w:rPr>
          <w:rFonts w:cs="Times New Roman"/>
          <w:color w:val="231F20"/>
          <w:w w:val="105"/>
          <w:sz w:val="24"/>
          <w:szCs w:val="24"/>
        </w:rPr>
      </w:pPr>
    </w:p>
    <w:p w:rsidR="00494D93" w:rsidRDefault="00494D93" w:rsidP="00494D93">
      <w:pPr>
        <w:pStyle w:val="Szvegtrzs"/>
        <w:tabs>
          <w:tab w:val="left" w:pos="142"/>
        </w:tabs>
        <w:ind w:left="0"/>
        <w:jc w:val="both"/>
        <w:rPr>
          <w:rFonts w:cs="Times New Roman"/>
          <w:color w:val="231F20"/>
          <w:w w:val="105"/>
          <w:sz w:val="24"/>
          <w:szCs w:val="24"/>
        </w:rPr>
      </w:pPr>
      <w:r>
        <w:rPr>
          <w:rFonts w:cs="Times New Roman"/>
          <w:color w:val="231F20"/>
          <w:w w:val="105"/>
          <w:sz w:val="24"/>
          <w:szCs w:val="24"/>
        </w:rPr>
        <w:t xml:space="preserve">The Irish court’s question was surprising </w:t>
      </w:r>
      <w:r w:rsidR="00D023AB">
        <w:rPr>
          <w:rFonts w:cs="Times New Roman"/>
          <w:color w:val="231F20"/>
          <w:w w:val="105"/>
          <w:sz w:val="24"/>
          <w:szCs w:val="24"/>
        </w:rPr>
        <w:t xml:space="preserve">also </w:t>
      </w:r>
      <w:r>
        <w:rPr>
          <w:rFonts w:cs="Times New Roman"/>
          <w:color w:val="231F20"/>
          <w:w w:val="105"/>
          <w:sz w:val="24"/>
          <w:szCs w:val="24"/>
        </w:rPr>
        <w:t>because the Copyright and Related Rights Act of 2000 (“CRRA”) of Ireland provides, at least in respect of the nationals of Ireland and of the Member States of the European Economic Area (EEA)</w:t>
      </w:r>
      <w:r w:rsidR="003438D0">
        <w:rPr>
          <w:rFonts w:cs="Times New Roman"/>
          <w:color w:val="231F20"/>
          <w:w w:val="105"/>
          <w:sz w:val="24"/>
          <w:szCs w:val="24"/>
        </w:rPr>
        <w:t>,</w:t>
      </w:r>
      <w:r>
        <w:rPr>
          <w:rFonts w:cs="Times New Roman"/>
          <w:color w:val="231F20"/>
          <w:w w:val="105"/>
          <w:sz w:val="24"/>
          <w:szCs w:val="24"/>
        </w:rPr>
        <w:t xml:space="preserve"> for an equitable remuneration to be paid by the producers to the performers for the acts covered by Article 8(2) of the Directive: </w:t>
      </w:r>
    </w:p>
    <w:p w:rsidR="00494D93" w:rsidRDefault="00494D93" w:rsidP="00494D93">
      <w:pPr>
        <w:pStyle w:val="Szvegtrzs"/>
        <w:tabs>
          <w:tab w:val="left" w:pos="142"/>
        </w:tabs>
        <w:ind w:left="0"/>
        <w:jc w:val="both"/>
        <w:rPr>
          <w:rFonts w:cs="Times New Roman"/>
          <w:color w:val="231F20"/>
          <w:w w:val="105"/>
          <w:sz w:val="24"/>
          <w:szCs w:val="24"/>
        </w:rPr>
      </w:pPr>
    </w:p>
    <w:p w:rsidR="00494D93" w:rsidRDefault="00494D93" w:rsidP="00494D93">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Section 208(1)</w:t>
      </w:r>
      <w:r>
        <w:rPr>
          <w:rFonts w:ascii="Times New Roman" w:eastAsia="Times New Roman" w:hAnsi="Times New Roman" w:cs="Times New Roman"/>
          <w:color w:val="000000"/>
          <w:sz w:val="24"/>
          <w:szCs w:val="24"/>
        </w:rPr>
        <w:t xml:space="preserve">: </w:t>
      </w:r>
    </w:p>
    <w:p w:rsidR="00494D93" w:rsidRDefault="00494D93" w:rsidP="00494D9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A performer has a right to equitable remuneration from the owner of the copyright in a sound recording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where</w:t>
      </w:r>
      <w:r>
        <w:rPr>
          <w:rFonts w:ascii="Times New Roman" w:eastAsia="Times New Roman" w:hAnsi="Times New Roman" w:cs="Times New Roman"/>
          <w:sz w:val="24"/>
          <w:szCs w:val="24"/>
        </w:rPr>
        <w:t xml:space="preserve"> the sound recording of the whole or any substantial part of a qualifying performance which has been made available to the public for commercial purposes is—</w:t>
      </w:r>
    </w:p>
    <w:p w:rsidR="00494D93" w:rsidRDefault="00494D93" w:rsidP="00494D9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played in public</w:t>
      </w:r>
      <w:r>
        <w:rPr>
          <w:rFonts w:ascii="Times New Roman" w:eastAsia="Times New Roman" w:hAnsi="Times New Roman" w:cs="Times New Roman"/>
          <w:sz w:val="24"/>
          <w:szCs w:val="24"/>
        </w:rPr>
        <w:t>, or</w:t>
      </w:r>
    </w:p>
    <w:p w:rsidR="00494D93" w:rsidRDefault="00494D93" w:rsidP="00494D9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i/>
          <w:sz w:val="24"/>
          <w:szCs w:val="24"/>
        </w:rPr>
        <w:t>included in a broadcast or cable programme service</w:t>
      </w:r>
      <w:r>
        <w:rPr>
          <w:rFonts w:ascii="Times New Roman" w:eastAsia="Times New Roman" w:hAnsi="Times New Roman" w:cs="Times New Roman"/>
          <w:sz w:val="24"/>
          <w:szCs w:val="24"/>
        </w:rPr>
        <w:t xml:space="preserve">.” [Emphasis added.]  </w:t>
      </w:r>
    </w:p>
    <w:p w:rsidR="00494D93" w:rsidRDefault="00494D93" w:rsidP="00494D93">
      <w:pPr>
        <w:spacing w:after="0" w:line="240" w:lineRule="auto"/>
        <w:ind w:left="567"/>
        <w:jc w:val="both"/>
        <w:rPr>
          <w:rFonts w:ascii="Times New Roman" w:eastAsia="Times New Roman" w:hAnsi="Times New Roman" w:cs="Times New Roman"/>
          <w:sz w:val="24"/>
          <w:szCs w:val="24"/>
        </w:rPr>
      </w:pPr>
    </w:p>
    <w:p w:rsidR="00494D93" w:rsidRDefault="00494D93" w:rsidP="00494D93">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Section 287</w:t>
      </w:r>
      <w:r>
        <w:rPr>
          <w:rFonts w:ascii="Times New Roman" w:eastAsia="Times New Roman" w:hAnsi="Times New Roman" w:cs="Times New Roman"/>
          <w:color w:val="000000"/>
          <w:sz w:val="24"/>
          <w:szCs w:val="24"/>
        </w:rPr>
        <w:t>:</w:t>
      </w:r>
    </w:p>
    <w:p w:rsidR="00494D93" w:rsidRDefault="00494D93" w:rsidP="00494D93">
      <w:pPr>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„’qualifying country’ means—</w:t>
      </w:r>
    </w:p>
    <w:p w:rsidR="00494D93" w:rsidRDefault="00494D93" w:rsidP="00494D93">
      <w:pPr>
        <w:tabs>
          <w:tab w:val="left" w:pos="851"/>
        </w:tabs>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Ireland,</w:t>
      </w:r>
    </w:p>
    <w:p w:rsidR="00494D93" w:rsidRDefault="00494D93" w:rsidP="00494D93">
      <w:pPr>
        <w:tabs>
          <w:tab w:val="left" w:pos="851"/>
        </w:tabs>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another Member State of the [European Economic Area (EEA)], or</w:t>
      </w:r>
    </w:p>
    <w:p w:rsidR="00494D93" w:rsidRDefault="00494D93" w:rsidP="00494D93">
      <w:pPr>
        <w:tabs>
          <w:tab w:val="left" w:pos="851"/>
        </w:tabs>
        <w:spacing w:after="0" w:line="240" w:lineRule="auto"/>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to the extent that an order under section 289 so provides, a country designated under that section;”</w:t>
      </w:r>
      <w:r>
        <w:rPr>
          <w:rStyle w:val="Lbjegyzet-hivatkozs"/>
          <w:rFonts w:ascii="Times New Roman" w:eastAsia="Times New Roman" w:hAnsi="Times New Roman" w:cs="Times New Roman"/>
          <w:color w:val="000000"/>
          <w:sz w:val="24"/>
          <w:szCs w:val="24"/>
        </w:rPr>
        <w:footnoteReference w:id="5"/>
      </w:r>
    </w:p>
    <w:p w:rsidR="00494D93" w:rsidRDefault="00494D93" w:rsidP="00494D93">
      <w:pPr>
        <w:pStyle w:val="Szvegtrzs"/>
        <w:tabs>
          <w:tab w:val="left" w:pos="142"/>
        </w:tabs>
        <w:ind w:left="0"/>
        <w:jc w:val="both"/>
        <w:rPr>
          <w:rFonts w:cs="Times New Roman"/>
          <w:color w:val="231F20"/>
          <w:w w:val="105"/>
          <w:sz w:val="24"/>
          <w:szCs w:val="24"/>
        </w:rPr>
      </w:pPr>
      <w:r>
        <w:rPr>
          <w:rFonts w:cs="Times New Roman"/>
          <w:color w:val="231F20"/>
          <w:w w:val="105"/>
          <w:sz w:val="24"/>
          <w:szCs w:val="24"/>
        </w:rPr>
        <w:t xml:space="preserve">    </w:t>
      </w:r>
    </w:p>
    <w:p w:rsidR="00494D93" w:rsidRDefault="00494D93" w:rsidP="00494D93">
      <w:pPr>
        <w:pStyle w:val="Szvegtrzs"/>
        <w:tabs>
          <w:tab w:val="left" w:pos="142"/>
        </w:tabs>
        <w:ind w:left="0"/>
        <w:jc w:val="both"/>
        <w:rPr>
          <w:rFonts w:cs="Times New Roman"/>
          <w:bCs/>
          <w:sz w:val="24"/>
          <w:szCs w:val="24"/>
        </w:rPr>
      </w:pPr>
      <w:r>
        <w:rPr>
          <w:rFonts w:cs="Times New Roman"/>
          <w:sz w:val="24"/>
          <w:szCs w:val="24"/>
          <w:lang w:eastAsia="hu-HU"/>
        </w:rPr>
        <w:t>The text in Article 8(2) of the Directive “to ensure that this remuneration is shared between the […] performers and phonogram producers” does not leave room for any contrary interpretation; thus, the CJEU has given the obvious response in point 3 of the rulings: “</w:t>
      </w:r>
      <w:r>
        <w:rPr>
          <w:rFonts w:cs="Times New Roman"/>
          <w:bCs/>
          <w:sz w:val="24"/>
          <w:szCs w:val="24"/>
        </w:rPr>
        <w:t>Article 8(2) of Directive 2006/115 must be interpreted as</w:t>
      </w:r>
      <w:r>
        <w:rPr>
          <w:rFonts w:cs="Times New Roman"/>
          <w:bCs/>
          <w:i/>
          <w:sz w:val="24"/>
          <w:szCs w:val="24"/>
        </w:rPr>
        <w:t xml:space="preserve"> </w:t>
      </w:r>
      <w:r>
        <w:rPr>
          <w:rFonts w:cs="Times New Roman"/>
          <w:bCs/>
          <w:sz w:val="24"/>
          <w:szCs w:val="24"/>
        </w:rPr>
        <w:t xml:space="preserve">precluding the right to a single equitable remuneration for which it provides from being limited in such a way that only the producer of the phonogram concerned receives remuneration, and does not share it with the performer who has contributed to that phonogram.”   </w:t>
      </w:r>
    </w:p>
    <w:p w:rsidR="00494D93" w:rsidRDefault="00494D93" w:rsidP="00494D93">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023A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Point 1 of the rulings seemed to be a response to preliminary question N</w:t>
      </w:r>
      <w:r>
        <w:rPr>
          <w:rFonts w:ascii="Times New Roman" w:eastAsia="Times New Roman" w:hAnsi="Times New Roman" w:cs="Times New Roman"/>
          <w:bCs/>
          <w:sz w:val="24"/>
          <w:szCs w:val="24"/>
          <w:vertAlign w:val="superscript"/>
        </w:rPr>
        <w:t>o</w:t>
      </w:r>
      <w:r>
        <w:rPr>
          <w:rFonts w:ascii="Times New Roman" w:eastAsia="Times New Roman" w:hAnsi="Times New Roman" w:cs="Times New Roman"/>
          <w:bCs/>
          <w:sz w:val="24"/>
          <w:szCs w:val="24"/>
        </w:rPr>
        <w:t xml:space="preserve">. 2 asked by the Irish court: </w:t>
      </w:r>
    </w:p>
    <w:p w:rsidR="00494D93" w:rsidRDefault="00494D93" w:rsidP="00494D93">
      <w:pPr>
        <w:spacing w:after="240" w:line="240" w:lineRule="auto"/>
        <w:ind w:left="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Does a Member State have discretion to prescribe criteria for determining which performers qualify as “relevant performers” under Article 8 of the directive? In particular, </w:t>
      </w:r>
      <w:r>
        <w:rPr>
          <w:rFonts w:ascii="Times New Roman" w:eastAsia="Times New Roman" w:hAnsi="Times New Roman" w:cs="Times New Roman"/>
          <w:i/>
          <w:sz w:val="24"/>
          <w:szCs w:val="24"/>
        </w:rPr>
        <w:t>can a Member State restrict the right to share in equitable remuneration to circumstances where either (i) the performance takes place in [an EEA] country, or (ii) the performers are domiciles or residents of an EEA country?</w:t>
      </w:r>
    </w:p>
    <w:p w:rsidR="00494D93" w:rsidRDefault="00494D93" w:rsidP="00494D9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8(2) is to be regarded as implementing Article 15(1) of the WPPT on the right of the performers and producers of phonograms to a single equitable remuneration which the Contracting Parties (including the E.U. and its Member States), by virtue of Article 4(1) of the Treaty on national treatment, are obligated to grant also to the performers and producers who are nationals of other Contracting Parties. Except where a Contracting Party has made a reservation under Article 15(3) of the Treaty to exclude or limit the application of the right (which is not the case as regards the E.U. and its Member States) or where another Contracting Party has done so and, therefore, as provided in Article 4(2) of the Treaty, no Contracting Party is obligated to grant the right to the performers and producers who are nationals of that other Contracting Party to the same extent (see below). Therefore, </w:t>
      </w:r>
      <w:r w:rsidR="00CA4F9C">
        <w:rPr>
          <w:rFonts w:ascii="Times New Roman" w:eastAsia="Times New Roman" w:hAnsi="Times New Roman" w:cs="Times New Roman"/>
          <w:sz w:val="24"/>
          <w:szCs w:val="24"/>
        </w:rPr>
        <w:t xml:space="preserve">in this aspect, </w:t>
      </w:r>
      <w:r w:rsidR="001079AF">
        <w:rPr>
          <w:rFonts w:ascii="Times New Roman" w:eastAsia="Times New Roman" w:hAnsi="Times New Roman" w:cs="Times New Roman"/>
          <w:sz w:val="24"/>
          <w:szCs w:val="24"/>
        </w:rPr>
        <w:t xml:space="preserve">point 1 of the rulings may be regarded also obvious if it is read alone in accordance with these provisions of the WPPT. </w:t>
      </w:r>
      <w:r>
        <w:rPr>
          <w:rFonts w:ascii="Times New Roman" w:eastAsia="Times New Roman" w:hAnsi="Times New Roman" w:cs="Times New Roman"/>
          <w:i/>
          <w:sz w:val="24"/>
          <w:szCs w:val="24"/>
        </w:rPr>
        <w:t xml:space="preserve"> </w:t>
      </w:r>
      <w:r w:rsidR="001079AF">
        <w:rPr>
          <w:rFonts w:ascii="Times New Roman" w:eastAsia="Times New Roman" w:hAnsi="Times New Roman" w:cs="Times New Roman"/>
          <w:sz w:val="24"/>
          <w:szCs w:val="24"/>
        </w:rPr>
        <w:t>However, when it is read together with point 2 of the rulings it may get another meaning.</w:t>
      </w:r>
      <w:r>
        <w:rPr>
          <w:rFonts w:ascii="Times New Roman" w:eastAsia="Times New Roman" w:hAnsi="Times New Roman" w:cs="Times New Roman"/>
          <w:sz w:val="24"/>
          <w:szCs w:val="24"/>
        </w:rPr>
        <w:t xml:space="preserve"> </w:t>
      </w:r>
    </w:p>
    <w:p w:rsidR="00D023AB" w:rsidRPr="002E3219" w:rsidRDefault="002E3219" w:rsidP="00494D93">
      <w:pPr>
        <w:spacing w:before="100" w:beforeAutospacing="1" w:after="100" w:afterAutospacing="1" w:line="240" w:lineRule="auto"/>
        <w:jc w:val="both"/>
        <w:rPr>
          <w:rFonts w:ascii="Times New Roman" w:eastAsia="Times New Roman" w:hAnsi="Times New Roman" w:cs="Times New Roman"/>
          <w:b/>
          <w:i/>
          <w:sz w:val="24"/>
          <w:szCs w:val="24"/>
        </w:rPr>
      </w:pPr>
      <w:r w:rsidRPr="002E3219">
        <w:rPr>
          <w:rFonts w:ascii="Times New Roman" w:eastAsia="Times New Roman" w:hAnsi="Times New Roman" w:cs="Times New Roman"/>
          <w:b/>
          <w:i/>
          <w:sz w:val="24"/>
          <w:szCs w:val="24"/>
        </w:rPr>
        <w:t xml:space="preserve">II. </w:t>
      </w:r>
      <w:r w:rsidR="00772ABA" w:rsidRPr="002E3219">
        <w:rPr>
          <w:rFonts w:ascii="Times New Roman" w:eastAsia="Times New Roman" w:hAnsi="Times New Roman" w:cs="Times New Roman"/>
          <w:b/>
          <w:i/>
          <w:sz w:val="24"/>
          <w:szCs w:val="24"/>
        </w:rPr>
        <w:t xml:space="preserve">There are </w:t>
      </w:r>
      <w:r w:rsidRPr="002E3219">
        <w:rPr>
          <w:rFonts w:ascii="Times New Roman" w:eastAsia="Times New Roman" w:hAnsi="Times New Roman" w:cs="Times New Roman"/>
          <w:b/>
          <w:i/>
          <w:sz w:val="24"/>
          <w:szCs w:val="24"/>
        </w:rPr>
        <w:t xml:space="preserve">certain </w:t>
      </w:r>
      <w:r w:rsidR="00772ABA" w:rsidRPr="002E3219">
        <w:rPr>
          <w:rFonts w:ascii="Times New Roman" w:eastAsia="Times New Roman" w:hAnsi="Times New Roman" w:cs="Times New Roman"/>
          <w:b/>
          <w:i/>
          <w:sz w:val="24"/>
          <w:szCs w:val="24"/>
        </w:rPr>
        <w:t>c</w:t>
      </w:r>
      <w:r w:rsidR="003E35D2" w:rsidRPr="002E3219">
        <w:rPr>
          <w:rFonts w:ascii="Times New Roman" w:eastAsia="Times New Roman" w:hAnsi="Times New Roman" w:cs="Times New Roman"/>
          <w:b/>
          <w:i/>
          <w:sz w:val="24"/>
          <w:szCs w:val="24"/>
        </w:rPr>
        <w:t xml:space="preserve">onflicts of the Irish law </w:t>
      </w:r>
      <w:r w:rsidR="001858CA" w:rsidRPr="002E3219">
        <w:rPr>
          <w:rFonts w:ascii="Times New Roman" w:eastAsia="Times New Roman" w:hAnsi="Times New Roman" w:cs="Times New Roman"/>
          <w:b/>
          <w:i/>
          <w:sz w:val="24"/>
          <w:szCs w:val="24"/>
        </w:rPr>
        <w:t>and the PPI’s practice with</w:t>
      </w:r>
      <w:r w:rsidR="003E35D2" w:rsidRPr="002E3219">
        <w:rPr>
          <w:rFonts w:ascii="Times New Roman" w:eastAsia="Times New Roman" w:hAnsi="Times New Roman" w:cs="Times New Roman"/>
          <w:b/>
          <w:i/>
          <w:sz w:val="24"/>
          <w:szCs w:val="24"/>
        </w:rPr>
        <w:t xml:space="preserve"> the international and EU norms </w:t>
      </w:r>
      <w:r w:rsidR="00EF144B">
        <w:rPr>
          <w:rFonts w:ascii="Times New Roman" w:eastAsia="Times New Roman" w:hAnsi="Times New Roman" w:cs="Times New Roman"/>
          <w:b/>
          <w:i/>
          <w:sz w:val="24"/>
          <w:szCs w:val="24"/>
        </w:rPr>
        <w:t xml:space="preserve">that are </w:t>
      </w:r>
      <w:r w:rsidR="003E35D2" w:rsidRPr="002E3219">
        <w:rPr>
          <w:rFonts w:ascii="Times New Roman" w:eastAsia="Times New Roman" w:hAnsi="Times New Roman" w:cs="Times New Roman"/>
          <w:b/>
          <w:i/>
          <w:sz w:val="24"/>
          <w:szCs w:val="24"/>
        </w:rPr>
        <w:t xml:space="preserve">not touched upon either in the preliminary questions or in the </w:t>
      </w:r>
      <w:r w:rsidR="001858CA" w:rsidRPr="002E3219">
        <w:rPr>
          <w:rFonts w:ascii="Times New Roman" w:eastAsia="Times New Roman" w:hAnsi="Times New Roman" w:cs="Times New Roman"/>
          <w:b/>
          <w:i/>
          <w:sz w:val="24"/>
          <w:szCs w:val="24"/>
        </w:rPr>
        <w:t>CJEU judgement</w:t>
      </w:r>
      <w:r w:rsidR="003E35D2" w:rsidRPr="002E3219">
        <w:rPr>
          <w:rFonts w:ascii="Times New Roman" w:eastAsia="Times New Roman" w:hAnsi="Times New Roman" w:cs="Times New Roman"/>
          <w:b/>
          <w:i/>
          <w:sz w:val="24"/>
          <w:szCs w:val="24"/>
        </w:rPr>
        <w:t xml:space="preserve">  </w:t>
      </w:r>
      <w:r w:rsidR="00494D93" w:rsidRPr="002E3219">
        <w:rPr>
          <w:rFonts w:ascii="Times New Roman" w:eastAsia="Times New Roman" w:hAnsi="Times New Roman" w:cs="Times New Roman"/>
          <w:b/>
          <w:i/>
          <w:sz w:val="24"/>
          <w:szCs w:val="24"/>
        </w:rPr>
        <w:t xml:space="preserve">  </w:t>
      </w:r>
    </w:p>
    <w:p w:rsidR="00494D93" w:rsidRDefault="00494D93" w:rsidP="00494D93">
      <w:pPr>
        <w:spacing w:before="100" w:beforeAutospacing="1" w:after="100" w:afterAutospacing="1" w:line="240" w:lineRule="auto"/>
        <w:jc w:val="both"/>
        <w:rPr>
          <w:rFonts w:ascii="Times New Roman" w:hAnsi="Times New Roman" w:cs="Times New Roman"/>
          <w:sz w:val="24"/>
          <w:szCs w:val="24"/>
          <w:lang w:eastAsia="hu-HU"/>
        </w:rPr>
      </w:pPr>
      <w:r>
        <w:rPr>
          <w:rFonts w:ascii="Times New Roman" w:eastAsia="Times New Roman" w:hAnsi="Times New Roman" w:cs="Times New Roman"/>
          <w:sz w:val="24"/>
          <w:szCs w:val="24"/>
        </w:rPr>
        <w:t xml:space="preserve">Before turning to the more problematic point 2 of the rulings, it seems necessary to outline the reasons for which, in spite of what seemed to be </w:t>
      </w:r>
      <w:r>
        <w:rPr>
          <w:rFonts w:ascii="Times New Roman" w:eastAsia="Times New Roman" w:hAnsi="Times New Roman" w:cs="Times New Roman"/>
          <w:i/>
          <w:sz w:val="24"/>
          <w:szCs w:val="24"/>
        </w:rPr>
        <w:t>acte clair</w:t>
      </w:r>
      <w:r>
        <w:rPr>
          <w:rFonts w:ascii="Times New Roman" w:eastAsia="Times New Roman" w:hAnsi="Times New Roman" w:cs="Times New Roman"/>
          <w:sz w:val="24"/>
          <w:szCs w:val="24"/>
        </w:rPr>
        <w:t xml:space="preserve"> issues, the Irish court, in spite of a thorough analysis it had made, still felt it necessary to submit these preliminary questions.  </w:t>
      </w:r>
      <w:r w:rsidR="00A629B4">
        <w:rPr>
          <w:rFonts w:ascii="Times New Roman" w:eastAsia="Times New Roman" w:hAnsi="Times New Roman" w:cs="Times New Roman"/>
          <w:sz w:val="24"/>
          <w:szCs w:val="24"/>
        </w:rPr>
        <w:t>T</w:t>
      </w:r>
      <w:r>
        <w:rPr>
          <w:rFonts w:ascii="Times New Roman" w:hAnsi="Times New Roman" w:cs="Times New Roman"/>
          <w:sz w:val="24"/>
          <w:szCs w:val="24"/>
          <w:lang w:eastAsia="hu-HU"/>
        </w:rPr>
        <w:t xml:space="preserve">here were a number of issues in the conflicts between RAAP and PPI that have not been addressed in </w:t>
      </w:r>
      <w:r>
        <w:rPr>
          <w:rFonts w:ascii="Times New Roman" w:hAnsi="Times New Roman" w:cs="Times New Roman"/>
          <w:i/>
          <w:sz w:val="24"/>
          <w:szCs w:val="24"/>
          <w:lang w:eastAsia="hu-HU"/>
        </w:rPr>
        <w:t>RAAP</w:t>
      </w:r>
      <w:r>
        <w:rPr>
          <w:rFonts w:ascii="Times New Roman" w:hAnsi="Times New Roman" w:cs="Times New Roman"/>
          <w:sz w:val="24"/>
          <w:szCs w:val="24"/>
          <w:lang w:eastAsia="hu-HU"/>
        </w:rPr>
        <w:t xml:space="preserve"> – partly because the Irish court had not submitted specific preliminary questions about them to the CJEU, and partly because they were addressed in a parallel lawsuit between RAAP and PPI.</w:t>
      </w:r>
      <w:r>
        <w:rPr>
          <w:rStyle w:val="Lbjegyzet-hivatkozs"/>
          <w:rFonts w:ascii="Times New Roman" w:hAnsi="Times New Roman" w:cs="Times New Roman"/>
          <w:sz w:val="24"/>
          <w:szCs w:val="24"/>
          <w:lang w:eastAsia="hu-HU"/>
        </w:rPr>
        <w:footnoteReference w:id="6"/>
      </w:r>
      <w:r>
        <w:rPr>
          <w:rFonts w:ascii="Times New Roman" w:hAnsi="Times New Roman" w:cs="Times New Roman"/>
          <w:sz w:val="24"/>
          <w:szCs w:val="24"/>
          <w:lang w:eastAsia="hu-HU"/>
        </w:rPr>
        <w:t xml:space="preserve"> Since those other issues concerned various significant aspects of collective management, it is justified to refer to them too. </w:t>
      </w:r>
    </w:p>
    <w:p w:rsidR="00494D93" w:rsidRDefault="00494D93" w:rsidP="00494D9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basic problem the High Court was faced with was the asymmetric status of the two categories of beneficiaries of the single equitable remuneration under the CRRA. By virtue of section 17(2)(b) of the Act, “sound recordings” (= phonograms)  are protected by “copyright” which, in accordance with section 17(1) “is a property right whereby, subject to this Act, the owner of the copyright in any work may undertake or authorise other persons in relation to that work to undertake certain acts in the State, being acts which are designated by this Act as acts restricted by copyright” and section 38(1) of the Act obligates users to make payments for the acts covered Article 15(1) of the WPPT to the producers as copyright owners. In this connection, there is no reference to the single equitable remuneration nature of the payments which would be also due to performers. In contrast, under section 208(1), performers have a</w:t>
      </w:r>
      <w:r w:rsidR="00A629B4">
        <w:rPr>
          <w:rFonts w:ascii="Times New Roman" w:eastAsia="Times New Roman" w:hAnsi="Times New Roman" w:cs="Times New Roman"/>
          <w:sz w:val="24"/>
          <w:szCs w:val="24"/>
        </w:rPr>
        <w:t xml:space="preserve"> stand-alone</w:t>
      </w:r>
      <w:r>
        <w:rPr>
          <w:rFonts w:ascii="Times New Roman" w:eastAsia="Times New Roman" w:hAnsi="Times New Roman" w:cs="Times New Roman"/>
          <w:sz w:val="24"/>
          <w:szCs w:val="24"/>
        </w:rPr>
        <w:t xml:space="preserve"> right to equitable remuneration. In the latter provision, there is no mention either about the </w:t>
      </w:r>
      <w:r>
        <w:rPr>
          <w:rFonts w:ascii="Times New Roman" w:eastAsia="Times New Roman" w:hAnsi="Times New Roman" w:cs="Times New Roman"/>
          <w:i/>
          <w:sz w:val="24"/>
          <w:szCs w:val="24"/>
        </w:rPr>
        <w:t>single</w:t>
      </w:r>
      <w:r>
        <w:rPr>
          <w:rFonts w:ascii="Times New Roman" w:eastAsia="Times New Roman" w:hAnsi="Times New Roman" w:cs="Times New Roman"/>
          <w:sz w:val="24"/>
          <w:szCs w:val="24"/>
        </w:rPr>
        <w:t xml:space="preserve"> nature of the equitable remuneration to be paid </w:t>
      </w:r>
      <w:r>
        <w:rPr>
          <w:rFonts w:ascii="Times New Roman" w:eastAsia="Times New Roman" w:hAnsi="Times New Roman" w:cs="Times New Roman"/>
          <w:i/>
          <w:sz w:val="24"/>
          <w:szCs w:val="24"/>
        </w:rPr>
        <w:t>by the users</w:t>
      </w:r>
      <w:r>
        <w:rPr>
          <w:rFonts w:ascii="Times New Roman" w:eastAsia="Times New Roman" w:hAnsi="Times New Roman" w:cs="Times New Roman"/>
          <w:sz w:val="24"/>
          <w:szCs w:val="24"/>
        </w:rPr>
        <w:t xml:space="preserve"> to performers and producers jointly; on the contrary, performers may only claim the remuneration </w:t>
      </w:r>
      <w:r>
        <w:rPr>
          <w:rFonts w:ascii="Times New Roman" w:eastAsia="Times New Roman" w:hAnsi="Times New Roman" w:cs="Times New Roman"/>
          <w:i/>
          <w:sz w:val="24"/>
          <w:szCs w:val="24"/>
        </w:rPr>
        <w:t>from the producers</w:t>
      </w:r>
      <w:r>
        <w:rPr>
          <w:rFonts w:ascii="Times New Roman" w:eastAsia="Times New Roman" w:hAnsi="Times New Roman" w:cs="Times New Roman"/>
          <w:sz w:val="24"/>
          <w:szCs w:val="24"/>
        </w:rPr>
        <w:t xml:space="preserve">. </w:t>
      </w:r>
    </w:p>
    <w:p w:rsidR="00494D93" w:rsidRDefault="00494D93" w:rsidP="00494D9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follows from this asymmetric regulation – although it is not stated in the judgment of the CJEU in </w:t>
      </w:r>
      <w:r>
        <w:rPr>
          <w:rFonts w:ascii="Times New Roman" w:eastAsia="Times New Roman" w:hAnsi="Times New Roman" w:cs="Times New Roman"/>
          <w:i/>
          <w:sz w:val="24"/>
          <w:szCs w:val="24"/>
        </w:rPr>
        <w:t>RAAP</w:t>
      </w:r>
      <w:r>
        <w:rPr>
          <w:rFonts w:ascii="Times New Roman" w:eastAsia="Times New Roman" w:hAnsi="Times New Roman" w:cs="Times New Roman"/>
          <w:sz w:val="24"/>
          <w:szCs w:val="24"/>
        </w:rPr>
        <w:t xml:space="preserve"> (because the Irish court had not submitted preliminary questions about it) – that the CRRA was not in accordance with Article 8(2) of the Directive and Article 15(1) and (2) of the WPPT in two basic aspects: (i) no </w:t>
      </w:r>
      <w:r>
        <w:rPr>
          <w:rFonts w:ascii="Times New Roman" w:eastAsia="Times New Roman" w:hAnsi="Times New Roman" w:cs="Times New Roman"/>
          <w:i/>
          <w:sz w:val="24"/>
          <w:szCs w:val="24"/>
        </w:rPr>
        <w:t>singl</w:t>
      </w:r>
      <w:r>
        <w:rPr>
          <w:rFonts w:ascii="Times New Roman" w:eastAsia="Times New Roman" w:hAnsi="Times New Roman" w:cs="Times New Roman"/>
          <w:sz w:val="24"/>
          <w:szCs w:val="24"/>
        </w:rPr>
        <w:t xml:space="preserve">e equitable remuneration is provided but </w:t>
      </w:r>
      <w:r>
        <w:rPr>
          <w:rFonts w:ascii="Times New Roman" w:eastAsia="Times New Roman" w:hAnsi="Times New Roman" w:cs="Times New Roman"/>
          <w:i/>
          <w:sz w:val="24"/>
          <w:szCs w:val="24"/>
        </w:rPr>
        <w:t>two separate rights</w:t>
      </w:r>
      <w:r>
        <w:rPr>
          <w:rFonts w:ascii="Times New Roman" w:eastAsia="Times New Roman" w:hAnsi="Times New Roman" w:cs="Times New Roman"/>
          <w:sz w:val="24"/>
          <w:szCs w:val="24"/>
        </w:rPr>
        <w:t xml:space="preserve">; a stronger one to the producers to collect remuneration from the users and a subordinate right of performers to claim remuneration form the producers; and – in close connection with this, (ii) while under Article 8(2) of the Directive and the first sentence of Article 15(2) of the WPPT, the single equitable remuneration of the producers </w:t>
      </w:r>
      <w:r>
        <w:rPr>
          <w:rFonts w:ascii="Times New Roman" w:eastAsia="Times New Roman" w:hAnsi="Times New Roman" w:cs="Times New Roman"/>
          <w:i/>
          <w:sz w:val="24"/>
          <w:szCs w:val="24"/>
        </w:rPr>
        <w:t>and the performers</w:t>
      </w:r>
      <w:r>
        <w:rPr>
          <w:rFonts w:ascii="Times New Roman" w:eastAsia="Times New Roman" w:hAnsi="Times New Roman" w:cs="Times New Roman"/>
          <w:sz w:val="24"/>
          <w:szCs w:val="24"/>
        </w:rPr>
        <w:t xml:space="preserve"> is due </w:t>
      </w:r>
      <w:r>
        <w:rPr>
          <w:rFonts w:ascii="Times New Roman" w:eastAsia="Times New Roman" w:hAnsi="Times New Roman" w:cs="Times New Roman"/>
          <w:i/>
          <w:sz w:val="24"/>
          <w:szCs w:val="24"/>
        </w:rPr>
        <w:t>from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users</w:t>
      </w:r>
      <w:r>
        <w:rPr>
          <w:rFonts w:ascii="Times New Roman" w:eastAsia="Times New Roman" w:hAnsi="Times New Roman" w:cs="Times New Roman"/>
          <w:sz w:val="24"/>
          <w:szCs w:val="24"/>
        </w:rPr>
        <w:t xml:space="preserve">, the performers’ right to an equitable remuneration may just be claimed </w:t>
      </w:r>
      <w:r>
        <w:rPr>
          <w:rFonts w:ascii="Times New Roman" w:eastAsia="Times New Roman" w:hAnsi="Times New Roman" w:cs="Times New Roman"/>
          <w:i/>
          <w:sz w:val="24"/>
          <w:szCs w:val="24"/>
        </w:rPr>
        <w:t>from 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producers</w:t>
      </w:r>
      <w:r>
        <w:rPr>
          <w:rFonts w:ascii="Times New Roman" w:eastAsia="Times New Roman" w:hAnsi="Times New Roman" w:cs="Times New Roman"/>
          <w:sz w:val="24"/>
          <w:szCs w:val="24"/>
        </w:rPr>
        <w:t xml:space="preserve">. </w:t>
      </w:r>
    </w:p>
    <w:p w:rsidR="00494D93" w:rsidRDefault="00494D93" w:rsidP="00494D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should be noted that the source of the apparent conflicts with the Directive and the WPPT is not the different legal characterization of the right of the producers as copyright, but that the principle of the “</w:t>
      </w:r>
      <w:r>
        <w:rPr>
          <w:rFonts w:ascii="Times New Roman" w:eastAsia="Times New Roman" w:hAnsi="Times New Roman" w:cs="Times New Roman"/>
          <w:i/>
          <w:sz w:val="24"/>
          <w:szCs w:val="24"/>
        </w:rPr>
        <w:t>relative</w:t>
      </w:r>
      <w:r>
        <w:rPr>
          <w:rFonts w:ascii="Times New Roman" w:eastAsia="Times New Roman" w:hAnsi="Times New Roman" w:cs="Times New Roman"/>
          <w:sz w:val="24"/>
          <w:szCs w:val="24"/>
        </w:rPr>
        <w:t xml:space="preserve"> freedom of legal characterization” is not taken into account and respected.</w:t>
      </w:r>
      <w:r>
        <w:rPr>
          <w:rStyle w:val="Lbjegyzet-hivatkozs"/>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PPI applied a practice that reflected the belief that the producers are the only real owners of the right to a payment from the users</w:t>
      </w:r>
      <w:r w:rsidR="00D91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just have to pay to performers for </w:t>
      </w:r>
      <w:r>
        <w:rPr>
          <w:rFonts w:ascii="Times New Roman" w:eastAsia="Times New Roman" w:hAnsi="Times New Roman" w:cs="Times New Roman"/>
          <w:i/>
          <w:sz w:val="24"/>
          <w:szCs w:val="24"/>
        </w:rPr>
        <w:t>the contributions to the producers’ productions</w:t>
      </w:r>
      <w:r>
        <w:rPr>
          <w:rFonts w:ascii="Times New Roman" w:eastAsia="Times New Roman" w:hAnsi="Times New Roman" w:cs="Times New Roman"/>
          <w:sz w:val="24"/>
          <w:szCs w:val="24"/>
        </w:rPr>
        <w:t xml:space="preserve"> – the sound recordings – protected by “copyright”.</w:t>
      </w:r>
    </w:p>
    <w:tbl>
      <w:tblPr>
        <w:tblW w:w="0" w:type="auto"/>
        <w:tblLook w:val="04A0" w:firstRow="1" w:lastRow="0" w:firstColumn="1" w:lastColumn="0" w:noHBand="0" w:noVBand="1"/>
      </w:tblPr>
      <w:tblGrid>
        <w:gridCol w:w="6"/>
      </w:tblGrid>
      <w:tr w:rsidR="00494D93" w:rsidTr="00494D93">
        <w:tc>
          <w:tcPr>
            <w:tcW w:w="0" w:type="auto"/>
            <w:tcMar>
              <w:top w:w="0" w:type="dxa"/>
              <w:left w:w="0" w:type="dxa"/>
              <w:bottom w:w="0" w:type="dxa"/>
              <w:right w:w="0" w:type="dxa"/>
            </w:tcMar>
          </w:tcPr>
          <w:p w:rsidR="00494D93" w:rsidRDefault="00494D93">
            <w:pPr>
              <w:spacing w:after="0" w:line="240" w:lineRule="auto"/>
              <w:rPr>
                <w:rFonts w:ascii="Times New Roman" w:eastAsia="Times New Roman" w:hAnsi="Times New Roman" w:cs="Times New Roman"/>
                <w:sz w:val="24"/>
                <w:szCs w:val="24"/>
              </w:rPr>
            </w:pPr>
          </w:p>
        </w:tc>
      </w:tr>
    </w:tbl>
    <w:p w:rsidR="00494D93" w:rsidRDefault="00494D93" w:rsidP="00494D9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hu-HU"/>
        </w:rPr>
        <w:t xml:space="preserve">   In order to understand how serious problems have emerged as a consequence of the less-than-lukewarm attitude towards performers’ rights, it is necessary to refer to the status of RAAP and PPI under the Irish law. According to section 281 of the CRRA, three different types of CMOs (“licensing bodies”) may be registered with the Controller of Intellectual Propery: (i) a body “</w:t>
      </w:r>
      <w:r>
        <w:rPr>
          <w:rFonts w:ascii="Times New Roman" w:eastAsia="Times New Roman" w:hAnsi="Times New Roman" w:cs="Times New Roman"/>
          <w:i/>
          <w:sz w:val="24"/>
          <w:szCs w:val="24"/>
        </w:rPr>
        <w:t>to act” “until the contrary is proved””on behalf of the classes of rightsowners for whom it claims representation right</w:t>
      </w:r>
      <w:r>
        <w:rPr>
          <w:rFonts w:ascii="Times New Roman" w:eastAsia="Times New Roman" w:hAnsi="Times New Roman" w:cs="Times New Roman"/>
          <w:sz w:val="24"/>
          <w:szCs w:val="24"/>
        </w:rPr>
        <w:t>s”; or (ii)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 body to act “on behalf of the rightsowners who have assigned rights to it”, or (iii)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body “exclusively licensed to act”. Both RAAP and PPI have been registered as CMOs (“licensing bodies”) in the first category; RAAP </w:t>
      </w:r>
      <w:r w:rsidR="00F31F5E">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the only CMO registered to claim remuneration for the class of performers and PPI </w:t>
      </w:r>
      <w:r w:rsidR="00F31F5E">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the only CMO registered to claim remuneration for the class of producers. That is, each of them is authorized to manage the rights of the given category of rightholders for which it has been registered in a presumption-based system (but not to manage the rights of other rightholders for which it has not been registered). In the case of RAAP, its registration effective during the legal proceeding as a “Licensing Body for Performers’ Rights” to operate a presumption-based collective management system applied to the representation of the following “classes of rightholders”(which clearly included the classes of performers whose performances are embodied in phonograms published for commercial purposes and used for broadcasting and communication to the public):         </w:t>
      </w:r>
    </w:p>
    <w:p w:rsidR="00494D93" w:rsidRDefault="00494D93" w:rsidP="00494D93">
      <w:pPr>
        <w:spacing w:after="0" w:line="240" w:lineRule="auto"/>
        <w:jc w:val="both"/>
        <w:rPr>
          <w:rFonts w:ascii="Times New Roman" w:eastAsia="Times New Roman" w:hAnsi="Times New Roman" w:cs="Times New Roman"/>
          <w:sz w:val="24"/>
          <w:szCs w:val="24"/>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1. Musicians a) Featured Artists including Bands &amp; Solo Artists;</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                       b) Non-Featured Artists (session musicians);  </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                       c) Orchestras and Orchestra members;</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2) Performers – Singers, Choirs, Comedians;</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3) Actors</w:t>
      </w:r>
      <w:r>
        <w:rPr>
          <w:rStyle w:val="Lbjegyzet-hivatkozs"/>
          <w:rFonts w:ascii="Times New Roman" w:hAnsi="Times New Roman" w:cs="Times New Roman"/>
          <w:lang w:val="en-US" w:eastAsia="ar-SA" w:bidi="en-US"/>
        </w:rPr>
        <w:footnoteReference w:id="8"/>
      </w:r>
      <w:r>
        <w:rPr>
          <w:rStyle w:val="AlcmChar"/>
          <w:rFonts w:ascii="Times New Roman" w:eastAsiaTheme="minorEastAsia" w:hAnsi="Times New Roman"/>
          <w:lang w:val="en-US"/>
        </w:rPr>
        <w:t xml:space="preserve">    </w:t>
      </w:r>
    </w:p>
    <w:p w:rsidR="00494D93" w:rsidRDefault="00494D93" w:rsidP="00494D93">
      <w:pPr>
        <w:spacing w:before="100" w:beforeAutospacing="1" w:after="100" w:afterAutospacing="1" w:line="240" w:lineRule="auto"/>
        <w:jc w:val="both"/>
        <w:rPr>
          <w:rFonts w:eastAsia="Times New Roman"/>
        </w:rPr>
      </w:pPr>
      <w:r>
        <w:rPr>
          <w:rFonts w:ascii="Times New Roman" w:eastAsia="Times New Roman" w:hAnsi="Times New Roman" w:cs="Times New Roman"/>
          <w:sz w:val="24"/>
          <w:szCs w:val="24"/>
        </w:rPr>
        <w:t xml:space="preserve">It follows from this that, since PPI is </w:t>
      </w:r>
      <w:r w:rsidRPr="00F31F5E">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registered to manage the rights of performers</w:t>
      </w:r>
      <w:r w:rsidR="00F31F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not authorized to perform any management activities in respect of those rights apart from collecting the single equitable remuneration (in which also the performers’ share is included) and transferring the share due to </w:t>
      </w:r>
      <w:r w:rsidR="00F31F5E">
        <w:rPr>
          <w:rFonts w:ascii="Times New Roman" w:eastAsia="Times New Roman" w:hAnsi="Times New Roman" w:cs="Times New Roman"/>
          <w:sz w:val="24"/>
          <w:szCs w:val="24"/>
        </w:rPr>
        <w:t xml:space="preserve">any possible </w:t>
      </w:r>
      <w:r>
        <w:rPr>
          <w:rFonts w:ascii="Times New Roman" w:eastAsia="Times New Roman" w:hAnsi="Times New Roman" w:cs="Times New Roman"/>
          <w:sz w:val="24"/>
          <w:szCs w:val="24"/>
        </w:rPr>
        <w:t>performers. For the fulfillment of all the other management activities, not the PPI (not a CMO of performers) but RAAP (the CMO of performers), which included:</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(i) distributing and paying the corresponding amounts of share of the single equitable remuneration transferred by the PPI to its members and to the performers otherwise represented by it on the basis of the presumption of representation under Section 280(7) of the CRRA;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(ii) transferring the corresponding amounts of remuneration due to the performers represented by foreign CMOs as agreed upon in the reciprocal representation agreements concluded with those CMOs;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(iii) deducting amounts for cultural and social purposes, if any, in accordance with the decisions of the competent bodies of RAAP and with the reciprocal representation agreements concluded with foreign CMOs;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(iv) performing “diligent search” to identify and locate performers to whom remuneration is due;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(v) applying the policy established, and the decisions made, by the competent governing bodies of the organization on the use of non-distributable amounts of remuneration;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(vi) clarifying – on the basis of the available databases and a “diligent search” that may be needed – whether or not certain amounts correspond to the use of performances that do not enjoy protection  (in other words, that are in the public domain) for some reason;  such as because (a) their term of protection has expired; or (b) their performers are nationals of a country who – in the absence of treaty relationship – do not enjoy protection; or (c) although their performers are nationals of a country that is party to the WPPT, for the relevant acts, by virtue of Article 2(4) of the Treaty, they do not enjoy protection (there is no obligation to pay remuneration to them) because their country has made a reservation to the application of the right in respect of such acts;   </w:t>
      </w:r>
    </w:p>
    <w:p w:rsidR="00494D93" w:rsidRDefault="00494D93" w:rsidP="00494D93">
      <w:pPr>
        <w:pStyle w:val="Style1"/>
        <w:widowControl/>
        <w:ind w:left="567"/>
        <w:jc w:val="both"/>
        <w:rPr>
          <w:rStyle w:val="AlcmChar"/>
          <w:rFonts w:ascii="Times New Roman" w:eastAsiaTheme="minorEastAsia" w:hAnsi="Times New Roman"/>
          <w:lang w:val="en-US"/>
        </w:rPr>
      </w:pP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(vii) taking care of the use of the amounts corresponding to the use of performances mentioned in the preceding point not covered by any treaty obligations and, thus, outside the contours of intellectual property rights, in accordance with the national laws that are competent to provide about their purposes, such as using the amounts for cultural and social purposes and the promotion and recognition of creative activities of performers. </w:t>
      </w:r>
    </w:p>
    <w:p w:rsidR="00494D93" w:rsidRDefault="00494D93" w:rsidP="00494D93">
      <w:pPr>
        <w:pStyle w:val="Style1"/>
        <w:widowControl/>
        <w:ind w:left="567"/>
        <w:jc w:val="both"/>
        <w:rPr>
          <w:rStyle w:val="AlcmChar"/>
          <w:rFonts w:ascii="Times New Roman" w:eastAsiaTheme="minorEastAsia" w:hAnsi="Times New Roman"/>
          <w:lang w:val="en-US"/>
        </w:rPr>
      </w:pPr>
      <w:r>
        <w:rPr>
          <w:rStyle w:val="AlcmChar"/>
          <w:rFonts w:ascii="Times New Roman" w:eastAsiaTheme="minorEastAsia" w:hAnsi="Times New Roman"/>
          <w:lang w:val="en-US"/>
        </w:rPr>
        <w:t xml:space="preserve">   </w:t>
      </w:r>
    </w:p>
    <w:p w:rsidR="00494D93" w:rsidRDefault="001858CA" w:rsidP="00494D93">
      <w:pPr>
        <w:spacing w:after="0" w:line="240" w:lineRule="auto"/>
        <w:jc w:val="both"/>
        <w:rPr>
          <w:rStyle w:val="AlcmChar"/>
          <w:rFonts w:ascii="Times New Roman" w:eastAsiaTheme="minorEastAsia" w:hAnsi="Times New Roman"/>
        </w:rPr>
      </w:pPr>
      <w:r>
        <w:rPr>
          <w:rFonts w:ascii="Times New Roman" w:eastAsia="Times New Roman" w:hAnsi="Times New Roman" w:cs="Times New Roman"/>
          <w:sz w:val="24"/>
          <w:szCs w:val="24"/>
        </w:rPr>
        <w:t xml:space="preserve"> </w:t>
      </w:r>
      <w:r w:rsidR="00494D93">
        <w:rPr>
          <w:rFonts w:ascii="Times New Roman" w:eastAsia="Times New Roman" w:hAnsi="Times New Roman" w:cs="Times New Roman"/>
          <w:sz w:val="24"/>
          <w:szCs w:val="24"/>
        </w:rPr>
        <w:t xml:space="preserve">PPI did not recognize RAAP’s authorization to carry out these collective management activities for performers in accordance with the </w:t>
      </w:r>
      <w:r w:rsidR="00F31F5E">
        <w:rPr>
          <w:rFonts w:ascii="Times New Roman" w:eastAsia="Times New Roman" w:hAnsi="Times New Roman" w:cs="Times New Roman"/>
          <w:sz w:val="24"/>
          <w:szCs w:val="24"/>
        </w:rPr>
        <w:t>Collective Management Directive (D</w:t>
      </w:r>
      <w:r w:rsidR="00494D93">
        <w:rPr>
          <w:rFonts w:ascii="Times New Roman" w:eastAsia="Times New Roman" w:hAnsi="Times New Roman" w:cs="Times New Roman"/>
          <w:sz w:val="24"/>
          <w:szCs w:val="24"/>
        </w:rPr>
        <w:t xml:space="preserve">irective </w:t>
      </w:r>
      <w:r w:rsidR="00F31F5E">
        <w:rPr>
          <w:rFonts w:ascii="Times New Roman" w:eastAsia="Times New Roman" w:hAnsi="Times New Roman" w:cs="Times New Roman"/>
          <w:sz w:val="24"/>
          <w:szCs w:val="24"/>
        </w:rPr>
        <w:t xml:space="preserve">2014/26/EU; the CM Directive) </w:t>
      </w:r>
      <w:r w:rsidR="00494D93">
        <w:rPr>
          <w:rFonts w:ascii="Times New Roman" w:eastAsia="Times New Roman" w:hAnsi="Times New Roman" w:cs="Times New Roman"/>
          <w:sz w:val="24"/>
          <w:szCs w:val="24"/>
        </w:rPr>
        <w:t>as a CMO authorized to operate a presumption-based system. It took over, step by step, the various competences, reducing RAAP’s role practically just to paying out the remuneration to its members already distributed by PPI.</w:t>
      </w:r>
      <w:r w:rsidR="00494D93">
        <w:rPr>
          <w:rStyle w:val="Lbjegyzet-hivatkozs"/>
          <w:rFonts w:ascii="Times New Roman" w:eastAsia="Times New Roman" w:hAnsi="Times New Roman" w:cs="Times New Roman"/>
          <w:sz w:val="24"/>
          <w:szCs w:val="24"/>
        </w:rPr>
        <w:footnoteReference w:id="9"/>
      </w:r>
      <w:r w:rsidR="00494D93">
        <w:rPr>
          <w:rFonts w:ascii="Times New Roman" w:eastAsia="Times New Roman" w:hAnsi="Times New Roman" w:cs="Times New Roman"/>
          <w:sz w:val="24"/>
          <w:szCs w:val="24"/>
        </w:rPr>
        <w:t xml:space="preserve"> Several</w:t>
      </w:r>
      <w:r w:rsidR="00494D93">
        <w:rPr>
          <w:rFonts w:ascii="Times New Roman" w:eastAsia="Times New Roman" w:hAnsi="Times New Roman" w:cs="Times New Roman"/>
        </w:rPr>
        <w:t xml:space="preserve"> </w:t>
      </w:r>
      <w:r w:rsidR="00494D93">
        <w:rPr>
          <w:rStyle w:val="AlcmChar"/>
          <w:rFonts w:ascii="Times New Roman" w:eastAsiaTheme="minorEastAsia" w:hAnsi="Times New Roman"/>
        </w:rPr>
        <w:t xml:space="preserve">conflicts emerged from these practices that were not necessarily dealt with in the lawsuit in connection with which the CJEU adopted its judgment. There was another judicial case just between RAAP and PPI where a number of conflicts were addressed. </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   In the other lawsuit, first the High Court</w:t>
      </w:r>
      <w:r>
        <w:rPr>
          <w:rStyle w:val="Lbjegyzet-hivatkozs"/>
          <w:rFonts w:ascii="Times New Roman" w:eastAsiaTheme="minorEastAsia" w:hAnsi="Times New Roman" w:cs="Times New Roman"/>
          <w:sz w:val="24"/>
          <w:szCs w:val="24"/>
          <w:lang w:eastAsia="ar-SA" w:bidi="en-US"/>
        </w:rPr>
        <w:footnoteReference w:id="10"/>
      </w:r>
      <w:r>
        <w:rPr>
          <w:rStyle w:val="AlcmChar"/>
          <w:rFonts w:ascii="Times New Roman" w:eastAsiaTheme="minorEastAsia" w:hAnsi="Times New Roman"/>
        </w:rPr>
        <w:t xml:space="preserve"> and then the Court of Appeal,</w:t>
      </w:r>
      <w:r>
        <w:rPr>
          <w:rStyle w:val="Lbjegyzet-hivatkozs"/>
          <w:rFonts w:ascii="Times New Roman" w:eastAsiaTheme="minorEastAsia" w:hAnsi="Times New Roman" w:cs="Times New Roman"/>
          <w:sz w:val="24"/>
          <w:szCs w:val="24"/>
          <w:lang w:eastAsia="ar-SA" w:bidi="en-US"/>
        </w:rPr>
        <w:footnoteReference w:id="11"/>
      </w:r>
      <w:r>
        <w:rPr>
          <w:rStyle w:val="AlcmChar"/>
          <w:rFonts w:ascii="Times New Roman" w:eastAsiaTheme="minorEastAsia" w:hAnsi="Times New Roman"/>
        </w:rPr>
        <w:t xml:space="preserve"> in general, approved and even encouraged PPI’s above-mentioned practices with one exception; namely that, while the High Court had found that PPI could also complete the distribution of the equitable remuneration to all the performers, irrespective of whether or not they are represented by RAAP (and just to transfer the distributed amounts to RAAP to pay the concrete amounts to the performers), the Court of Appeal at least reinstated the function of RAAP to distribute the equitable remuneration to the performers </w:t>
      </w:r>
      <w:r w:rsidR="00F31F5E">
        <w:rPr>
          <w:rStyle w:val="AlcmChar"/>
          <w:rFonts w:ascii="Times New Roman" w:eastAsiaTheme="minorEastAsia" w:hAnsi="Times New Roman"/>
          <w:lang w:val="hu-HU"/>
        </w:rPr>
        <w:t xml:space="preserve">– but only </w:t>
      </w:r>
      <w:r>
        <w:rPr>
          <w:rStyle w:val="AlcmChar"/>
          <w:rFonts w:ascii="Times New Roman" w:eastAsiaTheme="minorEastAsia" w:hAnsi="Times New Roman"/>
        </w:rPr>
        <w:t xml:space="preserve">who have explicitly trusted </w:t>
      </w:r>
      <w:r w:rsidR="00F31F5E">
        <w:rPr>
          <w:rStyle w:val="AlcmChar"/>
          <w:rFonts w:ascii="Times New Roman" w:eastAsiaTheme="minorEastAsia" w:hAnsi="Times New Roman"/>
          <w:lang w:val="hu-HU"/>
        </w:rPr>
        <w:t xml:space="preserve">RAAP </w:t>
      </w:r>
      <w:r>
        <w:rPr>
          <w:rStyle w:val="AlcmChar"/>
          <w:rFonts w:ascii="Times New Roman" w:eastAsiaTheme="minorEastAsia" w:hAnsi="Times New Roman"/>
        </w:rPr>
        <w:t>with the management of the right.</w:t>
      </w:r>
      <w:r>
        <w:rPr>
          <w:rStyle w:val="Lbjegyzet-hivatkozs"/>
          <w:rFonts w:ascii="Times New Roman" w:eastAsiaTheme="minorEastAsia" w:hAnsi="Times New Roman" w:cs="Times New Roman"/>
          <w:sz w:val="24"/>
          <w:szCs w:val="24"/>
          <w:lang w:eastAsia="ar-SA" w:bidi="en-US"/>
        </w:rPr>
        <w:footnoteReference w:id="12"/>
      </w:r>
      <w:r>
        <w:rPr>
          <w:rStyle w:val="AlcmChar"/>
          <w:rFonts w:ascii="Times New Roman" w:eastAsiaTheme="minorEastAsia" w:hAnsi="Times New Roman"/>
        </w:rPr>
        <w:t xml:space="preserve">  </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   As mentioned above:</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spacing w:after="0" w:line="240" w:lineRule="auto"/>
        <w:ind w:left="567"/>
        <w:jc w:val="both"/>
        <w:rPr>
          <w:rFonts w:eastAsia="Times New Roman"/>
        </w:rPr>
      </w:pPr>
      <w:r>
        <w:rPr>
          <w:rStyle w:val="AlcmChar"/>
          <w:rFonts w:ascii="Times New Roman" w:eastAsiaTheme="minorEastAsia" w:hAnsi="Times New Roman"/>
        </w:rPr>
        <w:t xml:space="preserve">- under section 281 of the CRRA, there are three alternative forms – clearly separated by the conjunctive “or” – in which the Controller may register a CMO (“licensing body”): </w:t>
      </w:r>
      <w:r>
        <w:rPr>
          <w:rFonts w:ascii="Times New Roman" w:hAnsi="Times New Roman" w:cs="Times New Roman"/>
          <w:sz w:val="24"/>
          <w:szCs w:val="24"/>
          <w:lang w:eastAsia="hu-HU"/>
        </w:rPr>
        <w:t>(i) a body “</w:t>
      </w:r>
      <w:r>
        <w:rPr>
          <w:rFonts w:ascii="Times New Roman" w:eastAsia="Times New Roman" w:hAnsi="Times New Roman" w:cs="Times New Roman"/>
          <w:i/>
          <w:sz w:val="24"/>
          <w:szCs w:val="24"/>
        </w:rPr>
        <w:t>to act” “until the contrary is proved””on behalf of the classes of rightsowners for whom it claims representation right</w:t>
      </w:r>
      <w:r>
        <w:rPr>
          <w:rFonts w:ascii="Times New Roman" w:eastAsia="Times New Roman" w:hAnsi="Times New Roman" w:cs="Times New Roman"/>
          <w:sz w:val="24"/>
          <w:szCs w:val="24"/>
        </w:rPr>
        <w:t xml:space="preserve">s”; </w:t>
      </w:r>
      <w:r>
        <w:rPr>
          <w:rFonts w:ascii="Times New Roman" w:eastAsia="Times New Roman" w:hAnsi="Times New Roman" w:cs="Times New Roman"/>
          <w:i/>
          <w:sz w:val="24"/>
          <w:szCs w:val="24"/>
          <w:u w:val="single"/>
        </w:rPr>
        <w:t>or</w:t>
      </w:r>
      <w:r>
        <w:rPr>
          <w:rFonts w:ascii="Times New Roman" w:eastAsia="Times New Roman" w:hAnsi="Times New Roman" w:cs="Times New Roman"/>
          <w:sz w:val="24"/>
          <w:szCs w:val="24"/>
        </w:rPr>
        <w:t xml:space="preserve"> (ii)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body to act “on behalf of the rightsowners who have assigned rights to it”, </w:t>
      </w:r>
      <w:r>
        <w:rPr>
          <w:rFonts w:ascii="Times New Roman" w:eastAsia="Times New Roman" w:hAnsi="Times New Roman" w:cs="Times New Roman"/>
          <w:i/>
          <w:sz w:val="24"/>
          <w:szCs w:val="24"/>
          <w:u w:val="single"/>
        </w:rPr>
        <w:t>or</w:t>
      </w:r>
      <w:r>
        <w:rPr>
          <w:rFonts w:ascii="Times New Roman" w:eastAsia="Times New Roman" w:hAnsi="Times New Roman" w:cs="Times New Roman"/>
          <w:sz w:val="24"/>
          <w:szCs w:val="24"/>
        </w:rPr>
        <w:t xml:space="preserve"> (iii)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 body “exclusively licensed to act”. </w:t>
      </w:r>
    </w:p>
    <w:p w:rsidR="00494D93" w:rsidRDefault="00494D93" w:rsidP="00494D93">
      <w:pPr>
        <w:spacing w:after="0" w:line="240" w:lineRule="auto"/>
        <w:ind w:left="567"/>
        <w:jc w:val="both"/>
        <w:rPr>
          <w:rFonts w:ascii="Times New Roman" w:eastAsia="Times New Roman" w:hAnsi="Times New Roman" w:cs="Times New Roman"/>
          <w:sz w:val="24"/>
          <w:szCs w:val="24"/>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 xml:space="preserve">- </w:t>
      </w:r>
      <w:r>
        <w:rPr>
          <w:rFonts w:ascii="Times New Roman" w:eastAsia="Times New Roman" w:hAnsi="Times New Roman" w:cs="Times New Roman"/>
          <w:sz w:val="24"/>
          <w:szCs w:val="24"/>
        </w:rPr>
        <w:t xml:space="preserve">RAAP has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been registered in the second alternative form as a body to act only “on behalf of the rightowners who have assigned rights to it” (definitely, there is no such limitation in RAAP’s registration); RAAP has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been registered either in the third alternative form as a body to act only to the extent that it is “exclusively licensed to it” (definitely, there is no such limitation in RAAP’s registration); instead of this, RAAP has been registered in the first form to represent the following “classes” (in RAPP’s registration explicitly the authority of representation of “</w:t>
      </w:r>
      <w:r>
        <w:rPr>
          <w:rFonts w:ascii="Times New Roman" w:eastAsia="Times New Roman" w:hAnsi="Times New Roman" w:cs="Times New Roman"/>
          <w:i/>
          <w:sz w:val="24"/>
          <w:szCs w:val="24"/>
        </w:rPr>
        <w:t>classes of righholders</w:t>
      </w:r>
      <w:r>
        <w:rPr>
          <w:rFonts w:ascii="Times New Roman" w:eastAsia="Times New Roman" w:hAnsi="Times New Roman" w:cs="Times New Roman"/>
          <w:sz w:val="24"/>
          <w:szCs w:val="24"/>
        </w:rPr>
        <w:t>” is indicted): “</w:t>
      </w:r>
      <w:r>
        <w:rPr>
          <w:rStyle w:val="AlcmChar"/>
          <w:rFonts w:ascii="Times New Roman" w:eastAsiaTheme="minorEastAsia" w:hAnsi="Times New Roman"/>
        </w:rPr>
        <w:t xml:space="preserve">1. Musicians a) Featured Artists including Bands &amp; Solo Artists; b) Non-Featured Artists (session musicians); c) Orchestras and Orchestra members; 2) Performers – Singers, Choirs, Comedians; 3) Actors”, which – beyond any imaginable doubts – mean any performers whose performances are embodied in phonograms (“sound recordings”) published for commercial purposes;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494D93">
      <w:pPr>
        <w:pStyle w:val="Listaszerbekezds"/>
        <w:numPr>
          <w:ilvl w:val="0"/>
          <w:numId w:val="1"/>
        </w:numPr>
        <w:ind w:left="567" w:firstLine="0"/>
        <w:jc w:val="both"/>
        <w:rPr>
          <w:rStyle w:val="AlcmChar"/>
          <w:rFonts w:ascii="Times New Roman" w:eastAsiaTheme="minorEastAsia" w:hAnsi="Times New Roman"/>
        </w:rPr>
      </w:pPr>
      <w:r>
        <w:rPr>
          <w:rStyle w:val="AlcmChar"/>
          <w:rFonts w:ascii="Times New Roman" w:eastAsiaTheme="minorEastAsia" w:hAnsi="Times New Roman"/>
        </w:rPr>
        <w:t>under section 281, a CMO (“licensing body”) registered in this form rather than in the second or third forms may (is authorized to) act (= may (is authorized to) carry out all the relevant activities of management of rights) “until the contrary is proved” “on behalf of the classes of rightholders for whom it claims representation rights;”</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pStyle w:val="Listaszerbekezds"/>
        <w:numPr>
          <w:ilvl w:val="0"/>
          <w:numId w:val="1"/>
        </w:numPr>
        <w:ind w:left="567" w:firstLine="0"/>
        <w:jc w:val="both"/>
        <w:rPr>
          <w:rStyle w:val="AlcmChar"/>
          <w:rFonts w:ascii="Times New Roman" w:eastAsiaTheme="minorEastAsia" w:hAnsi="Times New Roman"/>
        </w:rPr>
      </w:pPr>
      <w:r>
        <w:rPr>
          <w:rStyle w:val="AlcmChar"/>
          <w:rFonts w:ascii="Times New Roman" w:eastAsiaTheme="minorEastAsia" w:hAnsi="Times New Roman"/>
        </w:rPr>
        <w:t>PPI – as any other organization apart from RAAP – has not been registered to manage performers’ rights; neither in the first alternative form to manage the rights of any class of performers, nor in the second alternative form to manage the rights of any performer who has assigned his or her right; nor in the form to manage the rights of any performer who has exclusively licensed it to do so; PPI has no authority other than to collect the remuneration (the nature of which must be, as much as it is possible – and it is quite clearly possible – to be interpreted in accordance with the EU law, as a single equitable remuneration to be shared with performers in accordance with Article 8(2) of Directive</w:t>
      </w:r>
      <w:r w:rsidR="00487DA4">
        <w:rPr>
          <w:rStyle w:val="AlcmChar"/>
          <w:rFonts w:ascii="Times New Roman" w:eastAsiaTheme="minorEastAsia" w:hAnsi="Times New Roman"/>
          <w:lang w:val="hu-HU"/>
        </w:rPr>
        <w:t xml:space="preserve"> </w:t>
      </w:r>
      <w:r w:rsidR="00487DA4" w:rsidRPr="00665177">
        <w:rPr>
          <w:rFonts w:ascii="Times New Roman" w:eastAsia="Times New Roman" w:hAnsi="Times New Roman" w:cs="Times New Roman"/>
          <w:bCs/>
          <w:sz w:val="24"/>
          <w:szCs w:val="24"/>
        </w:rPr>
        <w:t>2006/115/EC</w:t>
      </w:r>
      <w:r>
        <w:rPr>
          <w:rStyle w:val="AlcmChar"/>
          <w:rFonts w:ascii="Times New Roman" w:eastAsiaTheme="minorEastAsia" w:hAnsi="Times New Roman"/>
        </w:rPr>
        <w:t xml:space="preserve"> and transfer it to RAAP to carry out all the rest of collective management tasks mentioned above</w:t>
      </w:r>
      <w:r>
        <w:rPr>
          <w:rStyle w:val="Lbjegyzet-hivatkozs"/>
          <w:rFonts w:ascii="Times New Roman" w:eastAsiaTheme="minorEastAsia" w:hAnsi="Times New Roman" w:cs="Times New Roman"/>
          <w:sz w:val="24"/>
          <w:szCs w:val="24"/>
          <w:lang w:eastAsia="ar-SA" w:bidi="en-US"/>
        </w:rPr>
        <w:footnoteReference w:id="13"/>
      </w:r>
      <w:r>
        <w:rPr>
          <w:rStyle w:val="AlcmChar"/>
          <w:rFonts w:ascii="Times New Roman" w:eastAsiaTheme="minorEastAsia" w:hAnsi="Times New Roman"/>
        </w:rPr>
        <w:t xml:space="preserve"> (including the task to take care of a possible – but not probable  – situation where “the contrary” is “proved”, a task of any CMO to operate either a presumption-based or an extended collective management system, now regulated also in Article 12 of the Digital Single Market Directive).  </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In view of this clear legal situation, it would have been normal that, if any question had been asked in a court case about the collective management activities for which RAAP has been registered and is authorized to carry out, the obvious answer would be this:     </w:t>
      </w: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  </w:t>
      </w:r>
    </w:p>
    <w:p w:rsidR="00494D93" w:rsidRDefault="00494D93" w:rsidP="00494D93">
      <w:pPr>
        <w:spacing w:after="0" w:line="240" w:lineRule="auto"/>
        <w:ind w:left="567" w:right="50" w:hanging="11"/>
        <w:jc w:val="both"/>
        <w:rPr>
          <w:rStyle w:val="AlcmChar"/>
          <w:rFonts w:ascii="Times New Roman" w:eastAsiaTheme="minorEastAsia" w:hAnsi="Times New Roman"/>
        </w:rPr>
      </w:pPr>
      <w:r>
        <w:rPr>
          <w:rFonts w:ascii="Times New Roman" w:hAnsi="Times New Roman" w:cs="Times New Roman"/>
          <w:sz w:val="24"/>
        </w:rPr>
        <w:t xml:space="preserve">The registration of a licensing body confers a presumptive right to act, until the contrary is proved, on behalf of all performers within the registered classes without any requirement for assignment or licensing. Applying this to the acts of the case, RAAP is entitled to collect the equitable remuneration not only on behalf of those individual performers who have actually assigned the right, but also on behalf of all </w:t>
      </w:r>
      <w:r>
        <w:rPr>
          <w:rStyle w:val="AlcmChar"/>
          <w:rFonts w:ascii="Times New Roman" w:eastAsiaTheme="minorEastAsia" w:hAnsi="Times New Roman"/>
        </w:rPr>
        <w:t xml:space="preserve">rightholders for whom it is presumed to act, until the contrary is proved. </w:t>
      </w:r>
    </w:p>
    <w:p w:rsidR="00494D93" w:rsidRDefault="00494D93" w:rsidP="00494D93">
      <w:pPr>
        <w:spacing w:after="0" w:line="240" w:lineRule="auto"/>
        <w:ind w:left="958" w:right="181" w:hanging="11"/>
        <w:jc w:val="both"/>
        <w:rPr>
          <w:rStyle w:val="AlcmChar"/>
          <w:rFonts w:ascii="Times New Roman" w:eastAsiaTheme="minorEastAsia" w:hAnsi="Times New Roman"/>
        </w:rPr>
      </w:pPr>
    </w:p>
    <w:p w:rsidR="00494D93" w:rsidRDefault="00494D93" w:rsidP="00A95B91">
      <w:pPr>
        <w:spacing w:after="0" w:line="240" w:lineRule="auto"/>
        <w:ind w:right="181"/>
        <w:jc w:val="both"/>
        <w:rPr>
          <w:rStyle w:val="AlcmChar"/>
          <w:rFonts w:ascii="Times New Roman" w:eastAsiaTheme="minorEastAsia" w:hAnsi="Times New Roman"/>
        </w:rPr>
      </w:pPr>
      <w:r>
        <w:rPr>
          <w:rStyle w:val="AlcmChar"/>
          <w:rFonts w:ascii="Times New Roman" w:eastAsiaTheme="minorEastAsia" w:hAnsi="Times New Roman"/>
        </w:rPr>
        <w:t>Instead of this, the High Court adopted this ruling</w:t>
      </w:r>
      <w:r>
        <w:rPr>
          <w:rStyle w:val="Lbjegyzet-hivatkozs"/>
          <w:rFonts w:ascii="Times New Roman" w:eastAsiaTheme="minorEastAsia" w:hAnsi="Times New Roman" w:cs="Times New Roman"/>
          <w:sz w:val="24"/>
          <w:szCs w:val="24"/>
          <w:lang w:eastAsia="ar-SA" w:bidi="en-US"/>
        </w:rPr>
        <w:footnoteReference w:id="14"/>
      </w:r>
      <w:r>
        <w:rPr>
          <w:rStyle w:val="AlcmChar"/>
          <w:rFonts w:ascii="Times New Roman" w:eastAsiaTheme="minorEastAsia" w:hAnsi="Times New Roman"/>
        </w:rPr>
        <w:t xml:space="preserve"> – and the Court of Appeal agreed with it (with the exception that the representation is supposed to be based necessarily on assignment)</w:t>
      </w:r>
      <w:r>
        <w:rPr>
          <w:rStyle w:val="Lbjegyzet-hivatkozs"/>
          <w:rFonts w:ascii="Times New Roman" w:eastAsiaTheme="minorEastAsia" w:hAnsi="Times New Roman" w:cs="Times New Roman"/>
          <w:sz w:val="24"/>
          <w:szCs w:val="24"/>
          <w:lang w:eastAsia="ar-SA" w:bidi="en-US"/>
        </w:rPr>
        <w:footnoteReference w:id="15"/>
      </w:r>
      <w:r>
        <w:rPr>
          <w:rStyle w:val="AlcmChar"/>
          <w:rFonts w:ascii="Times New Roman" w:eastAsiaTheme="minorEastAsia" w:hAnsi="Times New Roman"/>
        </w:rPr>
        <w:t xml:space="preserve"> and tried to justify it by various arguments: </w:t>
      </w: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             </w:t>
      </w:r>
    </w:p>
    <w:p w:rsidR="00494D93" w:rsidRDefault="00494D93" w:rsidP="00494D93">
      <w:pPr>
        <w:spacing w:after="0" w:line="240" w:lineRule="auto"/>
        <w:ind w:left="567" w:hanging="9"/>
        <w:jc w:val="both"/>
      </w:pPr>
      <w:r>
        <w:rPr>
          <w:rStyle w:val="AlcmChar"/>
          <w:rFonts w:ascii="Times New Roman" w:eastAsiaTheme="minorEastAsia" w:hAnsi="Times New Roman"/>
        </w:rPr>
        <w:t xml:space="preserve"> </w:t>
      </w:r>
      <w:r>
        <w:rPr>
          <w:rFonts w:ascii="Times New Roman" w:hAnsi="Times New Roman" w:cs="Times New Roman"/>
          <w:sz w:val="24"/>
        </w:rPr>
        <w:t>In summary, registration as a licensing body does not confer a presumptive right to act on behalf of all performers within the registered classes without any requirement for assignment or licensing. Applying this to the facts of the case, RAAP is only entitled to collect the equitable remuneration on behalf of those individual performers who have actually assigned the right to do so to it pursuant to the provisions of section</w:t>
      </w:r>
      <w:r>
        <w:rPr>
          <w:rFonts w:ascii="Times New Roman" w:hAnsi="Times New Roman" w:cs="Times New Roman"/>
          <w:spacing w:val="28"/>
          <w:sz w:val="24"/>
        </w:rPr>
        <w:t xml:space="preserve"> </w:t>
      </w:r>
      <w:r>
        <w:rPr>
          <w:rFonts w:ascii="Times New Roman" w:hAnsi="Times New Roman" w:cs="Times New Roman"/>
          <w:sz w:val="24"/>
        </w:rPr>
        <w:t>208(2).</w:t>
      </w:r>
    </w:p>
    <w:p w:rsidR="00494D93" w:rsidRDefault="00494D93" w:rsidP="00494D93">
      <w:pPr>
        <w:spacing w:after="0" w:line="240" w:lineRule="auto"/>
        <w:ind w:left="567" w:hanging="9"/>
        <w:jc w:val="both"/>
        <w:rPr>
          <w:rFonts w:ascii="Times New Roman" w:hAnsi="Times New Roman" w:cs="Times New Roman"/>
          <w:sz w:val="24"/>
        </w:rPr>
      </w:pPr>
    </w:p>
    <w:p w:rsidR="00494D93" w:rsidRDefault="00494D93" w:rsidP="00A95B91">
      <w:pPr>
        <w:spacing w:after="0" w:line="240" w:lineRule="auto"/>
        <w:jc w:val="both"/>
        <w:rPr>
          <w:rFonts w:ascii="Times New Roman" w:hAnsi="Times New Roman" w:cs="Times New Roman"/>
          <w:sz w:val="24"/>
        </w:rPr>
      </w:pPr>
      <w:r>
        <w:rPr>
          <w:rFonts w:ascii="Times New Roman" w:hAnsi="Times New Roman" w:cs="Times New Roman"/>
          <w:sz w:val="24"/>
        </w:rPr>
        <w:t xml:space="preserve">The arguments of the Court of Appeal may be summed up in this way and the reasons for which, with due respect, they are not well-founded are as follows:   </w:t>
      </w:r>
    </w:p>
    <w:p w:rsidR="00494D93" w:rsidRDefault="00494D93" w:rsidP="00494D93">
      <w:pPr>
        <w:spacing w:after="0" w:line="240" w:lineRule="auto"/>
        <w:ind w:firstLine="284"/>
        <w:jc w:val="both"/>
        <w:rPr>
          <w:rFonts w:ascii="Times New Roman" w:hAnsi="Times New Roman" w:cs="Times New Roman"/>
          <w:sz w:val="24"/>
        </w:rPr>
      </w:pPr>
    </w:p>
    <w:p w:rsidR="00494D93" w:rsidRDefault="00494D93" w:rsidP="00494D93">
      <w:pPr>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sz w:val="24"/>
        </w:rPr>
        <w:t xml:space="preserve">First, in view of the Court, it is in conflict with the CM Directive to provide in a national law a rebuttable presumption that a CMO may also act on behalf of a class of rightholders who have not individually assigned their rights or otherwise licensed the CMO. Therefore, any interpretation of section 281 of the CRRA according to which a CMO registered for the management of certain classes of rightholders – such as RAAP for the relevant classes of performers – may </w:t>
      </w:r>
      <w:r>
        <w:rPr>
          <w:rFonts w:ascii="Times New Roman" w:eastAsia="Times New Roman" w:hAnsi="Times New Roman" w:cs="Times New Roman"/>
          <w:sz w:val="24"/>
          <w:szCs w:val="24"/>
        </w:rPr>
        <w:t>act, until the contrary is proved, on behalf of the classes of rightsowners for whom it claims representation rights, would be in conflict with the EU law with which the CRRA must be interpreted as much in accordance as possible. The Court of Appeal has founded this argument, with reference on the provisions CM Directives</w:t>
      </w:r>
      <w:r>
        <w:rPr>
          <w:rStyle w:val="Lbjegyzet-hivatkozs"/>
          <w:rFonts w:ascii="Times New Roman" w:eastAsia="Times New Roman" w:hAnsi="Times New Roman" w:cs="Times New Roman"/>
          <w:sz w:val="24"/>
          <w:szCs w:val="24"/>
        </w:rPr>
        <w:footnoteReference w:id="16"/>
      </w:r>
      <w:r>
        <w:rPr>
          <w:rFonts w:ascii="Times New Roman" w:eastAsia="Times New Roman" w:hAnsi="Times New Roman" w:cs="Times New Roman"/>
          <w:sz w:val="24"/>
          <w:szCs w:val="24"/>
        </w:rPr>
        <w:t xml:space="preserve"> on the freedom of rightholders to choose which CMO and to what extent they authorize to manage their rights, if at all, and the requirements that a CMO may only act as licensed by individual rightholders, in particular Articles 4(7) and (8) and 5(2) and (4). The Court has stated as follows: </w:t>
      </w:r>
      <w:r>
        <w:rPr>
          <w:rStyle w:val="AlcmChar"/>
          <w:rFonts w:ascii="Times New Roman" w:eastAsiaTheme="minorHAnsi" w:hAnsi="Times New Roman"/>
        </w:rPr>
        <w:t>“I am satisfied that the mandatory collective management of rights, the presumption of authorisation of a CMOs or the exclusive collective management of rights through one</w:t>
      </w:r>
      <w:r>
        <w:rPr>
          <w:rStyle w:val="AlcmChar"/>
          <w:rFonts w:ascii="Times New Roman" w:eastAsiaTheme="minorHAnsi" w:hAnsi="Times New Roman"/>
          <w:lang w:val="hu-HU"/>
        </w:rPr>
        <w:t xml:space="preserve"> </w:t>
      </w:r>
      <w:r>
        <w:rPr>
          <w:rFonts w:ascii="Times New Roman" w:hAnsi="Times New Roman" w:cs="Times New Roman"/>
          <w:sz w:val="24"/>
          <w:szCs w:val="24"/>
        </w:rPr>
        <w:t>licensed</w:t>
      </w:r>
      <w:r>
        <w:rPr>
          <w:rFonts w:ascii="Times New Roman" w:hAnsi="Times New Roman" w:cs="Times New Roman"/>
          <w:spacing w:val="-29"/>
          <w:sz w:val="24"/>
          <w:szCs w:val="24"/>
        </w:rPr>
        <w:t xml:space="preserve"> </w:t>
      </w:r>
      <w:r>
        <w:rPr>
          <w:rFonts w:ascii="Times New Roman" w:hAnsi="Times New Roman" w:cs="Times New Roman"/>
          <w:sz w:val="24"/>
          <w:szCs w:val="24"/>
        </w:rPr>
        <w:t>CMO</w:t>
      </w:r>
      <w:r>
        <w:rPr>
          <w:rFonts w:ascii="Times New Roman" w:hAnsi="Times New Roman" w:cs="Times New Roman"/>
          <w:spacing w:val="-29"/>
          <w:sz w:val="24"/>
          <w:szCs w:val="24"/>
        </w:rPr>
        <w:t xml:space="preserve"> </w:t>
      </w:r>
      <w:r>
        <w:rPr>
          <w:rFonts w:ascii="Times New Roman" w:hAnsi="Times New Roman" w:cs="Times New Roman"/>
          <w:sz w:val="24"/>
          <w:szCs w:val="24"/>
        </w:rPr>
        <w:t>is</w:t>
      </w:r>
      <w:r>
        <w:rPr>
          <w:rFonts w:ascii="Times New Roman" w:hAnsi="Times New Roman" w:cs="Times New Roman"/>
          <w:spacing w:val="-40"/>
          <w:sz w:val="24"/>
          <w:szCs w:val="24"/>
        </w:rPr>
        <w:t xml:space="preserve"> </w:t>
      </w:r>
      <w:r>
        <w:rPr>
          <w:rFonts w:ascii="Times New Roman" w:hAnsi="Times New Roman" w:cs="Times New Roman"/>
          <w:sz w:val="24"/>
          <w:szCs w:val="24"/>
        </w:rPr>
        <w:t>inconsistent</w:t>
      </w:r>
      <w:r>
        <w:rPr>
          <w:rFonts w:ascii="Times New Roman" w:hAnsi="Times New Roman" w:cs="Times New Roman"/>
          <w:spacing w:val="-23"/>
          <w:sz w:val="24"/>
          <w:szCs w:val="24"/>
        </w:rPr>
        <w:t xml:space="preserve"> </w:t>
      </w:r>
      <w:r>
        <w:rPr>
          <w:rFonts w:ascii="Times New Roman" w:hAnsi="Times New Roman" w:cs="Times New Roman"/>
          <w:sz w:val="24"/>
          <w:szCs w:val="24"/>
        </w:rPr>
        <w:t>with</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5"/>
          <w:sz w:val="24"/>
          <w:szCs w:val="24"/>
        </w:rPr>
        <w:t xml:space="preserve"> </w:t>
      </w:r>
      <w:r>
        <w:rPr>
          <w:rFonts w:ascii="Times New Roman" w:hAnsi="Times New Roman" w:cs="Times New Roman"/>
          <w:sz w:val="24"/>
          <w:szCs w:val="24"/>
        </w:rPr>
        <w:t>provisions</w:t>
      </w:r>
      <w:r>
        <w:rPr>
          <w:rFonts w:ascii="Times New Roman" w:hAnsi="Times New Roman" w:cs="Times New Roman"/>
          <w:spacing w:val="-33"/>
          <w:sz w:val="24"/>
          <w:szCs w:val="24"/>
        </w:rPr>
        <w:t xml:space="preserve"> </w:t>
      </w:r>
      <w:r>
        <w:rPr>
          <w:rFonts w:ascii="Times New Roman" w:hAnsi="Times New Roman" w:cs="Times New Roman"/>
          <w:sz w:val="24"/>
          <w:szCs w:val="24"/>
        </w:rPr>
        <w:t>of</w:t>
      </w:r>
      <w:r>
        <w:rPr>
          <w:rFonts w:ascii="Times New Roman" w:hAnsi="Times New Roman" w:cs="Times New Roman"/>
          <w:spacing w:val="-39"/>
          <w:sz w:val="24"/>
          <w:szCs w:val="24"/>
        </w:rPr>
        <w:t xml:space="preserve">  </w:t>
      </w:r>
      <w:r>
        <w:rPr>
          <w:rFonts w:ascii="Times New Roman" w:hAnsi="Times New Roman" w:cs="Times New Roman"/>
          <w:sz w:val="24"/>
          <w:szCs w:val="24"/>
        </w:rPr>
        <w:t>s.280</w:t>
      </w:r>
      <w:r>
        <w:rPr>
          <w:rFonts w:ascii="Times New Roman" w:hAnsi="Times New Roman" w:cs="Times New Roman"/>
          <w:spacing w:val="-33"/>
          <w:sz w:val="24"/>
          <w:szCs w:val="24"/>
        </w:rPr>
        <w:t xml:space="preserve"> </w:t>
      </w:r>
      <w:r>
        <w:rPr>
          <w:rFonts w:ascii="Times New Roman" w:hAnsi="Times New Roman" w:cs="Times New Roman"/>
          <w:sz w:val="24"/>
          <w:szCs w:val="24"/>
        </w:rPr>
        <w:t>of</w:t>
      </w:r>
      <w:r>
        <w:rPr>
          <w:rFonts w:ascii="Times New Roman" w:hAnsi="Times New Roman" w:cs="Times New Roman"/>
          <w:spacing w:val="-35"/>
          <w:sz w:val="24"/>
          <w:szCs w:val="24"/>
        </w:rPr>
        <w:t xml:space="preserve"> </w:t>
      </w:r>
      <w:r>
        <w:rPr>
          <w:rFonts w:ascii="Times New Roman" w:hAnsi="Times New Roman" w:cs="Times New Roman"/>
          <w:sz w:val="24"/>
          <w:szCs w:val="24"/>
        </w:rPr>
        <w:t>the</w:t>
      </w:r>
      <w:r>
        <w:rPr>
          <w:rFonts w:ascii="Times New Roman" w:hAnsi="Times New Roman" w:cs="Times New Roman"/>
          <w:spacing w:val="-34"/>
          <w:sz w:val="24"/>
          <w:szCs w:val="24"/>
        </w:rPr>
        <w:t xml:space="preserve"> </w:t>
      </w:r>
      <w:r>
        <w:rPr>
          <w:rFonts w:ascii="Times New Roman" w:hAnsi="Times New Roman" w:cs="Times New Roman"/>
          <w:sz w:val="24"/>
          <w:szCs w:val="24"/>
        </w:rPr>
        <w:t>Act</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of </w:t>
      </w:r>
      <w:r>
        <w:rPr>
          <w:rFonts w:ascii="Times New Roman" w:hAnsi="Times New Roman" w:cs="Times New Roman"/>
          <w:spacing w:val="-36"/>
          <w:sz w:val="24"/>
          <w:szCs w:val="24"/>
        </w:rPr>
        <w:t xml:space="preserve"> </w:t>
      </w:r>
      <w:r>
        <w:rPr>
          <w:rFonts w:ascii="Times New Roman" w:hAnsi="Times New Roman" w:cs="Times New Roman"/>
          <w:sz w:val="24"/>
          <w:szCs w:val="24"/>
        </w:rPr>
        <w:t>2000</w:t>
      </w:r>
      <w:r>
        <w:rPr>
          <w:rStyle w:val="Lbjegyzet-hivatkozs"/>
          <w:rFonts w:ascii="Times New Roman" w:hAnsi="Times New Roman" w:cs="Times New Roman"/>
          <w:sz w:val="24"/>
          <w:szCs w:val="24"/>
        </w:rPr>
        <w:footnoteReference w:id="17"/>
      </w:r>
      <w:r>
        <w:rPr>
          <w:rFonts w:ascii="Times New Roman" w:hAnsi="Times New Roman" w:cs="Times New Roman"/>
          <w:spacing w:val="-37"/>
          <w:sz w:val="24"/>
          <w:szCs w:val="24"/>
        </w:rPr>
        <w:t xml:space="preserve"> </w:t>
      </w:r>
      <w:r>
        <w:rPr>
          <w:rStyle w:val="AlcmChar"/>
          <w:rFonts w:ascii="Times New Roman" w:eastAsiaTheme="minorHAnsi" w:hAnsi="Times New Roman"/>
        </w:rPr>
        <w:t>and  of  the Directives”</w:t>
      </w:r>
      <w:r>
        <w:rPr>
          <w:rStyle w:val="Lbjegyzet-hivatkozs"/>
          <w:rFonts w:ascii="Times New Roman" w:hAnsi="Times New Roman" w:cs="Times New Roman"/>
          <w:sz w:val="24"/>
          <w:szCs w:val="24"/>
          <w:lang w:eastAsia="ar-SA" w:bidi="en-US"/>
        </w:rPr>
        <w:footnoteReference w:id="18"/>
      </w:r>
      <w:r>
        <w:rPr>
          <w:rStyle w:val="AlcmChar"/>
          <w:rFonts w:ascii="Times New Roman" w:eastAsiaTheme="minorHAnsi" w:hAnsi="Times New Roman"/>
        </w:rPr>
        <w:t>. It is submitted that, the “satisfaction” of the Court is unjustified. In the Directive, recital (12) – otherwise also quoted by the Court</w:t>
      </w:r>
      <w:r>
        <w:rPr>
          <w:rStyle w:val="Lbjegyzet-hivatkozs"/>
          <w:rFonts w:ascii="Times New Roman" w:hAnsi="Times New Roman" w:cs="Times New Roman"/>
          <w:sz w:val="24"/>
          <w:szCs w:val="24"/>
          <w:lang w:eastAsia="ar-SA" w:bidi="en-US"/>
        </w:rPr>
        <w:footnoteReference w:id="19"/>
      </w:r>
      <w:r>
        <w:rPr>
          <w:rStyle w:val="AlcmChar"/>
          <w:rFonts w:ascii="Times New Roman" w:eastAsiaTheme="minorHAnsi" w:hAnsi="Times New Roman"/>
        </w:rPr>
        <w:t xml:space="preserve"> – makes it clear that ”[t]his Directive[…]</w:t>
      </w:r>
      <w:r>
        <w:rPr>
          <w:rFonts w:ascii="Times New Roman" w:hAnsi="Times New Roman" w:cs="Times New Roman"/>
          <w:b/>
          <w:w w:val="95"/>
          <w:sz w:val="24"/>
          <w:szCs w:val="24"/>
          <w:lang w:val="ru-RU"/>
        </w:rPr>
        <w:t xml:space="preserve"> </w:t>
      </w:r>
      <w:r>
        <w:rPr>
          <w:rFonts w:ascii="Times New Roman" w:hAnsi="Times New Roman" w:cs="Times New Roman"/>
          <w:i/>
          <w:sz w:val="24"/>
          <w:szCs w:val="24"/>
        </w:rPr>
        <w:t>does not interfere with arrangements</w:t>
      </w:r>
      <w:r>
        <w:rPr>
          <w:rFonts w:ascii="Times New Roman" w:hAnsi="Times New Roman" w:cs="Times New Roman"/>
          <w:sz w:val="24"/>
          <w:szCs w:val="24"/>
        </w:rPr>
        <w:t xml:space="preserve"> concerning the management</w:t>
      </w:r>
      <w:r>
        <w:rPr>
          <w:rFonts w:ascii="Times New Roman" w:hAnsi="Times New Roman" w:cs="Times New Roman"/>
          <w:spacing w:val="-24"/>
          <w:sz w:val="24"/>
          <w:szCs w:val="24"/>
        </w:rPr>
        <w:t xml:space="preserve"> </w:t>
      </w:r>
      <w:r>
        <w:rPr>
          <w:rFonts w:ascii="Times New Roman" w:hAnsi="Times New Roman" w:cs="Times New Roman"/>
          <w:sz w:val="24"/>
          <w:szCs w:val="24"/>
        </w:rPr>
        <w:t>of</w:t>
      </w:r>
      <w:r>
        <w:rPr>
          <w:rFonts w:ascii="Times New Roman" w:hAnsi="Times New Roman" w:cs="Times New Roman"/>
          <w:spacing w:val="-28"/>
          <w:sz w:val="24"/>
          <w:szCs w:val="24"/>
        </w:rPr>
        <w:t xml:space="preserve"> </w:t>
      </w:r>
      <w:r>
        <w:rPr>
          <w:rFonts w:ascii="Times New Roman" w:hAnsi="Times New Roman" w:cs="Times New Roman"/>
          <w:sz w:val="24"/>
          <w:szCs w:val="24"/>
        </w:rPr>
        <w:t>rights</w:t>
      </w:r>
      <w:r>
        <w:rPr>
          <w:rFonts w:ascii="Times New Roman" w:hAnsi="Times New Roman" w:cs="Times New Roman"/>
          <w:spacing w:val="-33"/>
          <w:sz w:val="24"/>
          <w:szCs w:val="24"/>
        </w:rPr>
        <w:t xml:space="preserve"> </w:t>
      </w:r>
      <w:r>
        <w:rPr>
          <w:rFonts w:ascii="Times New Roman" w:hAnsi="Times New Roman" w:cs="Times New Roman"/>
          <w:i/>
          <w:sz w:val="24"/>
          <w:szCs w:val="24"/>
        </w:rPr>
        <w:t>in</w:t>
      </w:r>
      <w:r>
        <w:rPr>
          <w:rFonts w:ascii="Times New Roman" w:hAnsi="Times New Roman" w:cs="Times New Roman"/>
          <w:i/>
          <w:spacing w:val="-36"/>
          <w:sz w:val="24"/>
          <w:szCs w:val="24"/>
        </w:rPr>
        <w:t xml:space="preserve"> </w:t>
      </w:r>
      <w:r>
        <w:rPr>
          <w:rFonts w:ascii="Times New Roman" w:hAnsi="Times New Roman" w:cs="Times New Roman"/>
          <w:i/>
          <w:sz w:val="24"/>
          <w:szCs w:val="24"/>
        </w:rPr>
        <w:t>the</w:t>
      </w:r>
      <w:r>
        <w:rPr>
          <w:rFonts w:ascii="Times New Roman" w:hAnsi="Times New Roman" w:cs="Times New Roman"/>
          <w:i/>
          <w:spacing w:val="-34"/>
          <w:sz w:val="24"/>
          <w:szCs w:val="24"/>
        </w:rPr>
        <w:t xml:space="preserve"> </w:t>
      </w:r>
      <w:r>
        <w:rPr>
          <w:rFonts w:ascii="Times New Roman" w:hAnsi="Times New Roman" w:cs="Times New Roman"/>
          <w:i/>
          <w:sz w:val="24"/>
          <w:szCs w:val="24"/>
        </w:rPr>
        <w:t>Member</w:t>
      </w:r>
      <w:r>
        <w:rPr>
          <w:rFonts w:ascii="Times New Roman" w:hAnsi="Times New Roman" w:cs="Times New Roman"/>
          <w:i/>
          <w:spacing w:val="-25"/>
          <w:sz w:val="24"/>
          <w:szCs w:val="24"/>
        </w:rPr>
        <w:t xml:space="preserve"> </w:t>
      </w:r>
      <w:r>
        <w:rPr>
          <w:rFonts w:ascii="Times New Roman" w:hAnsi="Times New Roman" w:cs="Times New Roman"/>
          <w:i/>
          <w:sz w:val="24"/>
          <w:szCs w:val="24"/>
        </w:rPr>
        <w:t>States</w:t>
      </w:r>
      <w:r>
        <w:rPr>
          <w:rFonts w:ascii="Times New Roman" w:hAnsi="Times New Roman" w:cs="Times New Roman"/>
          <w:i/>
          <w:spacing w:val="-29"/>
          <w:sz w:val="24"/>
          <w:szCs w:val="24"/>
        </w:rPr>
        <w:t xml:space="preserve"> </w:t>
      </w:r>
      <w:r>
        <w:rPr>
          <w:rFonts w:ascii="Times New Roman" w:hAnsi="Times New Roman" w:cs="Times New Roman"/>
          <w:i/>
          <w:sz w:val="24"/>
          <w:szCs w:val="24"/>
        </w:rPr>
        <w:t>such</w:t>
      </w:r>
      <w:r>
        <w:rPr>
          <w:rFonts w:ascii="Times New Roman" w:hAnsi="Times New Roman" w:cs="Times New Roman"/>
          <w:i/>
          <w:spacing w:val="-19"/>
          <w:sz w:val="24"/>
          <w:szCs w:val="24"/>
        </w:rPr>
        <w:t xml:space="preserve"> </w:t>
      </w:r>
      <w:r>
        <w:rPr>
          <w:rFonts w:ascii="Times New Roman" w:hAnsi="Times New Roman" w:cs="Times New Roman"/>
          <w:i/>
          <w:sz w:val="24"/>
          <w:szCs w:val="24"/>
        </w:rPr>
        <w:t>as</w:t>
      </w:r>
      <w:r>
        <w:rPr>
          <w:rFonts w:ascii="Times New Roman" w:hAnsi="Times New Roman" w:cs="Times New Roman"/>
          <w:sz w:val="24"/>
          <w:szCs w:val="24"/>
        </w:rPr>
        <w:t>[…]</w:t>
      </w:r>
      <w:r>
        <w:rPr>
          <w:rFonts w:ascii="Times New Roman" w:hAnsi="Times New Roman" w:cs="Times New Roman"/>
          <w:spacing w:val="-41"/>
          <w:sz w:val="24"/>
          <w:szCs w:val="24"/>
        </w:rPr>
        <w:t xml:space="preserve"> </w:t>
      </w:r>
      <w:r>
        <w:rPr>
          <w:rFonts w:ascii="Times New Roman" w:hAnsi="Times New Roman" w:cs="Times New Roman"/>
          <w:sz w:val="24"/>
          <w:szCs w:val="24"/>
        </w:rPr>
        <w:t>extended</w:t>
      </w:r>
      <w:r>
        <w:rPr>
          <w:rFonts w:ascii="Times New Roman" w:hAnsi="Times New Roman" w:cs="Times New Roman"/>
          <w:spacing w:val="-32"/>
          <w:sz w:val="24"/>
          <w:szCs w:val="24"/>
        </w:rPr>
        <w:t xml:space="preserve"> </w:t>
      </w:r>
      <w:r>
        <w:rPr>
          <w:rFonts w:ascii="Times New Roman" w:hAnsi="Times New Roman" w:cs="Times New Roman"/>
          <w:sz w:val="24"/>
          <w:szCs w:val="24"/>
        </w:rPr>
        <w:t>collective</w:t>
      </w:r>
      <w:r>
        <w:rPr>
          <w:rFonts w:ascii="Times New Roman" w:hAnsi="Times New Roman" w:cs="Times New Roman"/>
          <w:spacing w:val="-34"/>
          <w:sz w:val="24"/>
          <w:szCs w:val="24"/>
        </w:rPr>
        <w:t xml:space="preserve"> </w:t>
      </w:r>
      <w:r>
        <w:rPr>
          <w:rFonts w:ascii="Times New Roman" w:hAnsi="Times New Roman" w:cs="Times New Roman"/>
          <w:sz w:val="24"/>
          <w:szCs w:val="24"/>
        </w:rPr>
        <w:t>licensing,</w:t>
      </w:r>
      <w:r>
        <w:rPr>
          <w:rFonts w:ascii="Times New Roman" w:hAnsi="Times New Roman" w:cs="Times New Roman"/>
          <w:spacing w:val="-32"/>
          <w:sz w:val="24"/>
          <w:szCs w:val="24"/>
        </w:rPr>
        <w:t xml:space="preserve"> </w:t>
      </w:r>
      <w:r>
        <w:rPr>
          <w:rFonts w:ascii="Times New Roman" w:hAnsi="Times New Roman" w:cs="Times New Roman"/>
          <w:sz w:val="24"/>
          <w:szCs w:val="24"/>
        </w:rPr>
        <w:t>mandatory</w:t>
      </w:r>
      <w:r>
        <w:rPr>
          <w:rFonts w:ascii="Times New Roman" w:hAnsi="Times New Roman" w:cs="Times New Roman"/>
          <w:spacing w:val="-35"/>
          <w:sz w:val="24"/>
          <w:szCs w:val="24"/>
        </w:rPr>
        <w:t xml:space="preserve"> </w:t>
      </w:r>
      <w:r>
        <w:rPr>
          <w:rFonts w:ascii="Times New Roman" w:hAnsi="Times New Roman" w:cs="Times New Roman"/>
          <w:sz w:val="24"/>
          <w:szCs w:val="24"/>
        </w:rPr>
        <w:t xml:space="preserve">collective </w:t>
      </w:r>
      <w:r>
        <w:rPr>
          <w:rStyle w:val="AlcmChar"/>
          <w:rFonts w:ascii="Times New Roman" w:eastAsiaTheme="minorHAnsi" w:hAnsi="Times New Roman"/>
        </w:rPr>
        <w:t>management, legal presumptions of representation and transfer of rights to collective management organisations“.</w:t>
      </w:r>
      <w:r>
        <w:rPr>
          <w:rFonts w:ascii="Times New Roman" w:hAnsi="Times New Roman" w:cs="Times New Roman"/>
          <w:sz w:val="24"/>
          <w:szCs w:val="24"/>
        </w:rPr>
        <w:t xml:space="preserve"> [Emphasis</w:t>
      </w:r>
      <w:r>
        <w:rPr>
          <w:rFonts w:ascii="Times New Roman" w:hAnsi="Times New Roman" w:cs="Times New Roman"/>
          <w:spacing w:val="10"/>
          <w:sz w:val="24"/>
          <w:szCs w:val="24"/>
        </w:rPr>
        <w:t xml:space="preserve"> </w:t>
      </w:r>
      <w:r>
        <w:rPr>
          <w:rFonts w:ascii="Times New Roman" w:hAnsi="Times New Roman" w:cs="Times New Roman"/>
          <w:sz w:val="24"/>
          <w:szCs w:val="24"/>
        </w:rPr>
        <w:t>added.]</w:t>
      </w:r>
      <w:r>
        <w:rPr>
          <w:rStyle w:val="AlcmChar"/>
          <w:rFonts w:ascii="Times New Roman" w:eastAsiaTheme="minorHAnsi" w:hAnsi="Times New Roman"/>
        </w:rPr>
        <w:t xml:space="preserve">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w:t>
      </w:r>
    </w:p>
    <w:p w:rsidR="00494D93" w:rsidRDefault="00494D93" w:rsidP="00494D9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4D93" w:rsidRDefault="00494D93" w:rsidP="00494D93">
      <w:pPr>
        <w:spacing w:after="0" w:line="240" w:lineRule="auto"/>
        <w:ind w:left="567"/>
        <w:jc w:val="both"/>
        <w:rPr>
          <w:rFonts w:ascii="Times New Roman" w:hAnsi="Times New Roman" w:cs="Times New Roman"/>
          <w:sz w:val="24"/>
        </w:rPr>
      </w:pPr>
      <w:r>
        <w:rPr>
          <w:rFonts w:ascii="Times New Roman" w:hAnsi="Times New Roman" w:cs="Times New Roman"/>
          <w:sz w:val="24"/>
        </w:rPr>
        <w:t>Second, according to the Court, if section 281 were interpreted in a way that a CMO, may be registered to act, until the contrary is proved, on behalf of the classes of rightholders (like RAAP on behalf of the relevant classes of performers) for which it has been registered, the second part of section 281 would be superfluous.</w:t>
      </w:r>
      <w:r>
        <w:rPr>
          <w:rStyle w:val="Lbjegyzet-hivatkozs"/>
          <w:rFonts w:ascii="Times New Roman" w:hAnsi="Times New Roman" w:cs="Times New Roman"/>
          <w:sz w:val="24"/>
        </w:rPr>
        <w:footnoteReference w:id="20"/>
      </w:r>
      <w:r>
        <w:rPr>
          <w:rFonts w:ascii="Times New Roman" w:hAnsi="Times New Roman" w:cs="Times New Roman"/>
          <w:sz w:val="24"/>
        </w:rPr>
        <w:t xml:space="preserve">  It is difficult to understand what is meant by this argument. Nevertheless, it is quite evident that it is not valid. It is not because, where, in a legal norm, it is provided that either alternative A may be applied </w:t>
      </w:r>
      <w:r>
        <w:rPr>
          <w:rFonts w:ascii="Times New Roman" w:hAnsi="Times New Roman" w:cs="Times New Roman"/>
          <w:i/>
          <w:sz w:val="24"/>
          <w:u w:val="single"/>
        </w:rPr>
        <w:t>or</w:t>
      </w:r>
      <w:r>
        <w:rPr>
          <w:rFonts w:ascii="Times New Roman" w:hAnsi="Times New Roman" w:cs="Times New Roman"/>
          <w:sz w:val="24"/>
        </w:rPr>
        <w:t xml:space="preserve"> alternative B may be applied </w:t>
      </w:r>
      <w:r>
        <w:rPr>
          <w:rFonts w:ascii="Times New Roman" w:hAnsi="Times New Roman" w:cs="Times New Roman"/>
          <w:i/>
          <w:sz w:val="24"/>
          <w:u w:val="single"/>
        </w:rPr>
        <w:t>or</w:t>
      </w:r>
      <w:r>
        <w:rPr>
          <w:rFonts w:ascii="Times New Roman" w:hAnsi="Times New Roman" w:cs="Times New Roman"/>
          <w:sz w:val="24"/>
        </w:rPr>
        <w:t xml:space="preserve"> alternative C may be applied and it is found that alternative A is the right alternative to apply, it does not mean that the rest of the provision becomes “superfluous”; just in the given case, the other two alternatives are not applied. It could hardly be found any reason to find, on the basis of the principles of interpretation of legal texts or the basic rules of logic, that if there are three alternatives and one is chosen, it should be applied along with another alternative. It goes without saying that this applies also to the three alternatives in section 281.  </w:t>
      </w:r>
    </w:p>
    <w:p w:rsidR="00494D93" w:rsidRDefault="00494D93" w:rsidP="00494D93">
      <w:pPr>
        <w:spacing w:after="0" w:line="240" w:lineRule="auto"/>
        <w:ind w:left="567"/>
        <w:jc w:val="both"/>
        <w:rPr>
          <w:rFonts w:ascii="Times New Roman" w:hAnsi="Times New Roman" w:cs="Times New Roman"/>
          <w:sz w:val="24"/>
        </w:rPr>
      </w:pPr>
    </w:p>
    <w:p w:rsidR="00494D93" w:rsidRDefault="00494D93" w:rsidP="00494D93">
      <w:pPr>
        <w:spacing w:after="0" w:line="240" w:lineRule="auto"/>
        <w:ind w:left="567"/>
        <w:jc w:val="both"/>
        <w:rPr>
          <w:rStyle w:val="AlcmChar"/>
          <w:rFonts w:ascii="Times New Roman" w:eastAsiaTheme="minorEastAsia" w:hAnsi="Times New Roman"/>
        </w:rPr>
      </w:pPr>
      <w:r>
        <w:rPr>
          <w:rFonts w:ascii="Times New Roman" w:hAnsi="Times New Roman" w:cs="Times New Roman"/>
          <w:sz w:val="24"/>
        </w:rPr>
        <w:t xml:space="preserve">Third, in the opinion of the Court, in section 281, the proviso “until the contrary is proved” does not refer to the authorization of a CMO, like RAAP, to </w:t>
      </w:r>
      <w:r>
        <w:rPr>
          <w:rFonts w:ascii="Times New Roman" w:eastAsia="Times New Roman" w:hAnsi="Times New Roman" w:cs="Times New Roman"/>
          <w:sz w:val="24"/>
          <w:szCs w:val="24"/>
        </w:rPr>
        <w:t xml:space="preserve">act, until the contrary is proved, on behalf of the classes of rightowners represented according to the registration, but it refers to the validity of the certificate (and, thus, to the validity of the registration) from the viewpoint of the question of whether or not a </w:t>
      </w:r>
      <w:r>
        <w:rPr>
          <w:rStyle w:val="AlcmChar"/>
          <w:rFonts w:ascii="Times New Roman" w:eastAsiaTheme="minorEastAsia" w:hAnsi="Times New Roman"/>
        </w:rPr>
        <w:t>CMO may act on behalf of the given classes of rightholders.</w:t>
      </w:r>
      <w:r>
        <w:rPr>
          <w:rStyle w:val="Lbjegyzet-hivatkozs"/>
          <w:rFonts w:ascii="Times New Roman" w:eastAsiaTheme="minorEastAsia" w:hAnsi="Times New Roman" w:cs="Times New Roman"/>
          <w:sz w:val="24"/>
          <w:szCs w:val="24"/>
          <w:lang w:eastAsia="ar-SA" w:bidi="en-US"/>
        </w:rPr>
        <w:footnoteReference w:id="21"/>
      </w:r>
      <w:r>
        <w:rPr>
          <w:rStyle w:val="AlcmChar"/>
          <w:rFonts w:ascii="Times New Roman" w:eastAsiaTheme="minorEastAsia" w:hAnsi="Times New Roman"/>
        </w:rPr>
        <w:t xml:space="preserve"> It is submitted that not only nothing like this follows from the text of section 281 – which is about COMs’ acting on behalf of the classes indicated in the certificate and not about the validity of a certificate – but it is also self-contradictory.  A situation where a certificate does not apply anymore for a class of rightholders originally certified may only emerge where the certificate is modified. The other possibility mentioned by the Court is that CMO does not actually claim the representation to manage the rights of a class of righholders mentioned in the certificate. It is an imaginable situation which certainly does not apply to RAAP, which does wish to manage the rights of performers in accordance with the certificate. If, however, such situation emerged, it would nothing do with the general question of the applicability of a presumption-based system; in such a case, simply the certificate (and the underlining registration) would have to be modified or withdrawn.</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A95B91">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To sum up: RAAP, also on the basis of section 281 of the CRRA, and definitely in accordance with the CM Directive – the recital (12) of which is confirmed now also by the provisions of the Digital Single Market Directive</w:t>
      </w:r>
      <w:r>
        <w:rPr>
          <w:rStyle w:val="Lbjegyzet-hivatkozs"/>
          <w:rFonts w:ascii="Times New Roman" w:eastAsiaTheme="minorEastAsia" w:hAnsi="Times New Roman" w:cs="Times New Roman"/>
          <w:sz w:val="24"/>
          <w:szCs w:val="24"/>
          <w:lang w:eastAsia="ar-SA" w:bidi="en-US"/>
        </w:rPr>
        <w:footnoteReference w:id="22"/>
      </w:r>
      <w:r>
        <w:rPr>
          <w:rStyle w:val="AlcmChar"/>
          <w:rFonts w:ascii="Times New Roman" w:eastAsiaTheme="minorEastAsia" w:hAnsi="Times New Roman"/>
        </w:rPr>
        <w:t xml:space="preserve"> – is authorized to manage the rights of performers to the single equitable remuneration for the relevant classes of performers in accordance with its registration and certificate. It is not the case what the Court alleges; namely that the certificate and registration of RAAP would only mean “</w:t>
      </w:r>
      <w:r>
        <w:rPr>
          <w:rFonts w:ascii="Times New Roman" w:hAnsi="Times New Roman" w:cs="Times New Roman"/>
          <w:sz w:val="24"/>
        </w:rPr>
        <w:t>to hold itself out as available to represent the proposed classes, but this does not dispense with the necessity for those individual performers to request representation and to grant the requisite assignments, or exclusive licences, to authorise the licensing body to act on their behalf.”</w:t>
      </w:r>
      <w:r>
        <w:rPr>
          <w:rStyle w:val="Lbjegyzet-hivatkozs"/>
          <w:rFonts w:ascii="Times New Roman" w:hAnsi="Times New Roman" w:cs="Times New Roman"/>
          <w:sz w:val="24"/>
        </w:rPr>
        <w:footnoteReference w:id="23"/>
      </w:r>
      <w:r>
        <w:rPr>
          <w:rFonts w:ascii="Times New Roman" w:hAnsi="Times New Roman" w:cs="Times New Roman"/>
          <w:sz w:val="24"/>
        </w:rPr>
        <w:t xml:space="preserve"> By this, the Court suggests that RAAP has been registered and certified according </w:t>
      </w:r>
      <w:r>
        <w:rPr>
          <w:rStyle w:val="AlcmChar"/>
          <w:rFonts w:ascii="Times New Roman" w:eastAsiaTheme="minorEastAsia" w:hAnsi="Times New Roman"/>
        </w:rPr>
        <w:t xml:space="preserve">to the second or third alternatives mentioned in section 281 and, thus, it is only authorized to act on behalf of individual rightholders who have assigned there rights to – or exclusively licensed – it, respectively. However, the fact is that RAAP has been licensed and has certificate to act on behalf of the relevant classes of performers and, in accordance with section 281, it is has authorization to act on behalf of all performers, until the contrary is proved.    </w:t>
      </w:r>
    </w:p>
    <w:p w:rsidR="00494D93" w:rsidRDefault="00494D93" w:rsidP="00494D93">
      <w:pPr>
        <w:spacing w:after="0" w:line="240" w:lineRule="auto"/>
        <w:ind w:firstLine="284"/>
        <w:jc w:val="both"/>
        <w:rPr>
          <w:rStyle w:val="AlcmChar"/>
          <w:rFonts w:ascii="Times New Roman" w:eastAsiaTheme="minorEastAsia" w:hAnsi="Times New Roman"/>
        </w:rPr>
      </w:pPr>
    </w:p>
    <w:p w:rsidR="00494D93" w:rsidRDefault="00494D93" w:rsidP="00494D93">
      <w:pPr>
        <w:spacing w:after="0" w:line="240" w:lineRule="auto"/>
        <w:ind w:firstLine="284"/>
        <w:jc w:val="both"/>
        <w:rPr>
          <w:rStyle w:val="AlcmChar"/>
          <w:rFonts w:ascii="Times New Roman" w:eastAsiaTheme="minorEastAsia" w:hAnsi="Times New Roman"/>
          <w:lang w:val="hu-HU"/>
        </w:rPr>
      </w:pPr>
      <w:r>
        <w:rPr>
          <w:rStyle w:val="AlcmChar"/>
          <w:rFonts w:ascii="Times New Roman" w:eastAsiaTheme="minorEastAsia" w:hAnsi="Times New Roman"/>
        </w:rPr>
        <w:t xml:space="preserve">It is respectfully suggested that the reason for which the Court has adopted these </w:t>
      </w:r>
      <w:r w:rsidR="00F31F5E">
        <w:rPr>
          <w:rStyle w:val="AlcmChar"/>
          <w:rFonts w:ascii="Times New Roman" w:eastAsiaTheme="minorEastAsia" w:hAnsi="Times New Roman"/>
          <w:lang w:val="hu-HU"/>
        </w:rPr>
        <w:t>badly</w:t>
      </w:r>
      <w:r>
        <w:rPr>
          <w:rStyle w:val="AlcmChar"/>
          <w:rFonts w:ascii="Times New Roman" w:eastAsiaTheme="minorEastAsia" w:hAnsi="Times New Roman"/>
        </w:rPr>
        <w:t xml:space="preserve"> founded rulings is that it too lightly reached the finding – contrary to what is stated in recital (12) of the CM Directive – that a presumption-based collective management system is in conflict with the Directive. It is </w:t>
      </w:r>
      <w:r w:rsidR="00C004E3">
        <w:rPr>
          <w:rStyle w:val="AlcmChar"/>
          <w:rFonts w:ascii="Times New Roman" w:eastAsiaTheme="minorEastAsia" w:hAnsi="Times New Roman"/>
          <w:lang w:val="hu-HU"/>
        </w:rPr>
        <w:t xml:space="preserve">another matter </w:t>
      </w:r>
      <w:r>
        <w:rPr>
          <w:rStyle w:val="AlcmChar"/>
          <w:rFonts w:ascii="Times New Roman" w:eastAsiaTheme="minorEastAsia" w:hAnsi="Times New Roman"/>
        </w:rPr>
        <w:t>in which cases and for what reasons it is necessary to apply presumption-based (or extended or mandatory) collective management system. One of the reasons is to avoid the consequence that inevitable occur if the Court’s “only to hold itself out” theory were applied, namely that, in the absence of collective management, several performers would lose their chance to exploit their rights (or if they still would like to exercise it individually, they would have to reach agreement about their share with the CMO of producers which do not have registration to manage their rights and represent the parties in the negotiations – with interests conflicting with the performers interests). The Court sincerely recognizes that such a situation would emerge to the detriment of the exercisability of the rights of  a number of performers,</w:t>
      </w:r>
      <w:r>
        <w:rPr>
          <w:rStyle w:val="Lbjegyzet-hivatkozs"/>
          <w:rFonts w:ascii="Times New Roman" w:eastAsiaTheme="minorEastAsia" w:hAnsi="Times New Roman" w:cs="Times New Roman"/>
          <w:sz w:val="24"/>
          <w:szCs w:val="24"/>
          <w:lang w:eastAsia="ar-SA" w:bidi="en-US"/>
        </w:rPr>
        <w:footnoteReference w:id="24"/>
      </w:r>
      <w:r>
        <w:rPr>
          <w:rStyle w:val="AlcmChar"/>
          <w:rFonts w:ascii="Times New Roman" w:eastAsiaTheme="minorEastAsia" w:hAnsi="Times New Roman"/>
        </w:rPr>
        <w:t xml:space="preserve"> but it alleges that it is inevitably follows from the obligation of the Court to interpret the provisions of the CRRA in accordance with the CM Directive under which a presumption-based system cannot be applied</w:t>
      </w:r>
      <w:r>
        <w:rPr>
          <w:rStyle w:val="Lbjegyzet-hivatkozs"/>
          <w:rFonts w:ascii="Times New Roman" w:eastAsiaTheme="minorEastAsia" w:hAnsi="Times New Roman" w:cs="Times New Roman"/>
          <w:sz w:val="24"/>
          <w:szCs w:val="24"/>
          <w:lang w:eastAsia="ar-SA" w:bidi="en-US"/>
        </w:rPr>
        <w:footnoteReference w:id="25"/>
      </w:r>
      <w:r>
        <w:rPr>
          <w:rStyle w:val="AlcmChar"/>
          <w:rFonts w:ascii="Times New Roman" w:eastAsiaTheme="minorEastAsia" w:hAnsi="Times New Roman"/>
        </w:rPr>
        <w:t>. As analyzed above, this does not follow from the CRRA; exactly the contrary follows from section 281 of the Act in due accordance with recital (12) of the CM Directive and as confirmed by the provisions of Article 12 of the Digital Single Market Directive.</w:t>
      </w:r>
    </w:p>
    <w:p w:rsidR="00BA7DA9" w:rsidRDefault="00BA7DA9" w:rsidP="00494D93">
      <w:pPr>
        <w:spacing w:after="0" w:line="240" w:lineRule="auto"/>
        <w:ind w:firstLine="284"/>
        <w:jc w:val="both"/>
        <w:rPr>
          <w:rStyle w:val="AlcmChar"/>
          <w:rFonts w:ascii="Times New Roman" w:eastAsiaTheme="minorEastAsia" w:hAnsi="Times New Roman"/>
          <w:lang w:val="hu-HU"/>
        </w:rPr>
      </w:pPr>
    </w:p>
    <w:p w:rsidR="00BA7DA9" w:rsidRDefault="00BA7DA9" w:rsidP="00BA7DA9">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 xml:space="preserve">   Concerning the amounts of the remuneration collected for foreign performers, separate comments should be made. PPI has introduced the practice that, in those cases where foreign performers did not enjoy the right to remuneration, it transferred the relevant amounts to the producers of the phonograms concerned. PPI justified – on the basis of what seemed to be a correct legal analysis</w:t>
      </w:r>
      <w:r>
        <w:rPr>
          <w:rStyle w:val="Lbjegyzet-hivatkozs"/>
          <w:rFonts w:ascii="Times New Roman" w:eastAsiaTheme="minorEastAsia" w:hAnsi="Times New Roman" w:cs="Times New Roman"/>
          <w:sz w:val="24"/>
          <w:szCs w:val="24"/>
          <w:lang w:eastAsia="ar-SA" w:bidi="en-US"/>
        </w:rPr>
        <w:footnoteReference w:id="26"/>
      </w:r>
      <w:r>
        <w:rPr>
          <w:rStyle w:val="AlcmChar"/>
          <w:rFonts w:ascii="Times New Roman" w:eastAsiaTheme="minorEastAsia" w:hAnsi="Times New Roman"/>
        </w:rPr>
        <w:t xml:space="preserve"> – the transfer of the remuneration to the US producers that it had collected for acts in respect of which, by virtue of Article 4(2) of the WPPT (since the U.S, has made reservations concerning those acts), Ireland did not have obligation to apply the right to remuneration under Article 15(1).  The basis of the view of PPI has been that – since no international obligations apply for the remuneration of such acts – there is no obstacle to use it in such a generous way and pay it to US producers despite the absence of international obligations. However, it is another matter that, since PPI does not have authorization (registration) to manage performers’ rights – but RAAP has such authorization – it is RAAP which is supposed to take the necessary arrangements for the amounts corresponding to the use of the performances of performers who, in the absence of international obligations, do not enjoy the right.   </w:t>
      </w:r>
    </w:p>
    <w:p w:rsidR="001858CA" w:rsidRDefault="001858CA" w:rsidP="00494D93">
      <w:pPr>
        <w:spacing w:after="0" w:line="240" w:lineRule="auto"/>
        <w:ind w:firstLine="284"/>
        <w:jc w:val="both"/>
        <w:rPr>
          <w:rStyle w:val="AlcmChar"/>
          <w:rFonts w:ascii="Times New Roman" w:eastAsiaTheme="minorEastAsia" w:hAnsi="Times New Roman"/>
          <w:lang w:val="hu-HU"/>
        </w:rPr>
      </w:pPr>
    </w:p>
    <w:p w:rsidR="001858CA" w:rsidRPr="00626F35" w:rsidRDefault="00460469" w:rsidP="001858CA">
      <w:pPr>
        <w:spacing w:after="0" w:line="240" w:lineRule="auto"/>
        <w:jc w:val="both"/>
        <w:rPr>
          <w:rStyle w:val="AlcmChar"/>
          <w:rFonts w:ascii="Times New Roman" w:eastAsiaTheme="minorEastAsia" w:hAnsi="Times New Roman"/>
          <w:b/>
          <w:i/>
          <w:lang w:val="en-US"/>
        </w:rPr>
      </w:pPr>
      <w:r>
        <w:rPr>
          <w:rStyle w:val="AlcmChar"/>
          <w:rFonts w:ascii="Times New Roman" w:eastAsiaTheme="minorEastAsia" w:hAnsi="Times New Roman"/>
          <w:b/>
          <w:i/>
          <w:lang w:val="en-US"/>
        </w:rPr>
        <w:t>III</w:t>
      </w:r>
      <w:r w:rsidR="00AD0E6B" w:rsidRPr="00487DA4">
        <w:rPr>
          <w:rStyle w:val="AlcmChar"/>
          <w:rFonts w:ascii="Times New Roman" w:eastAsiaTheme="minorEastAsia" w:hAnsi="Times New Roman"/>
          <w:b/>
          <w:i/>
          <w:lang w:val="en-US"/>
        </w:rPr>
        <w:t xml:space="preserve">. </w:t>
      </w:r>
      <w:r w:rsidR="00487DA4" w:rsidRPr="00487DA4">
        <w:rPr>
          <w:rFonts w:ascii="Times New Roman" w:hAnsi="Times New Roman" w:cs="Times New Roman"/>
          <w:b/>
          <w:i/>
          <w:sz w:val="24"/>
          <w:szCs w:val="24"/>
          <w:lang w:eastAsia="hu-HU"/>
        </w:rPr>
        <w:t xml:space="preserve">With due respect, it seems </w:t>
      </w:r>
      <w:r w:rsidR="00487DA4">
        <w:rPr>
          <w:rFonts w:ascii="Times New Roman" w:hAnsi="Times New Roman" w:cs="Times New Roman"/>
          <w:b/>
          <w:i/>
          <w:sz w:val="24"/>
          <w:szCs w:val="24"/>
          <w:lang w:eastAsia="hu-HU"/>
        </w:rPr>
        <w:t xml:space="preserve">regrettably </w:t>
      </w:r>
      <w:r w:rsidR="00487DA4" w:rsidRPr="00487DA4">
        <w:rPr>
          <w:rStyle w:val="AlcmChar"/>
          <w:rFonts w:ascii="Times New Roman" w:eastAsiaTheme="minorEastAsia" w:hAnsi="Times New Roman"/>
          <w:b/>
          <w:i/>
          <w:lang w:val="en-US"/>
        </w:rPr>
        <w:t xml:space="preserve">that the CJEU’s ruling on the obligation to apply the right provided in Article 8 of Directive </w:t>
      </w:r>
      <w:r w:rsidR="00487DA4" w:rsidRPr="00487DA4">
        <w:rPr>
          <w:rFonts w:ascii="Times New Roman" w:eastAsia="Times New Roman" w:hAnsi="Times New Roman" w:cs="Times New Roman"/>
          <w:b/>
          <w:bCs/>
          <w:i/>
          <w:sz w:val="24"/>
          <w:szCs w:val="24"/>
        </w:rPr>
        <w:t>2006/115/EC</w:t>
      </w:r>
      <w:r w:rsidR="00487DA4" w:rsidRPr="00487DA4">
        <w:rPr>
          <w:rStyle w:val="AlcmChar"/>
          <w:rFonts w:ascii="Times New Roman" w:eastAsiaTheme="minorEastAsia" w:hAnsi="Times New Roman"/>
          <w:b/>
          <w:i/>
          <w:lang w:val="en-US"/>
        </w:rPr>
        <w:t xml:space="preserve"> to performances and phonograms of nationals of States that are non-members of the EU and are not protected under the WPPT is not well-founded; one cannot speak  about the non-application of a non-existing right as a ‘limitation’ of a right; such performances and phonograms are outside the contours of copyright and related rights (and this is adequately clarified in the existing laws of the EU Member States</w:t>
      </w:r>
      <w:r w:rsidR="00ED5E94" w:rsidRPr="00626F35">
        <w:rPr>
          <w:rStyle w:val="AlcmChar"/>
          <w:rFonts w:ascii="Times New Roman" w:eastAsiaTheme="minorEastAsia" w:hAnsi="Times New Roman"/>
          <w:b/>
          <w:i/>
          <w:lang w:val="en-US"/>
        </w:rPr>
        <w:t xml:space="preserve">   </w:t>
      </w:r>
      <w:r w:rsidR="00C15EBC" w:rsidRPr="00626F35">
        <w:rPr>
          <w:rStyle w:val="AlcmChar"/>
          <w:rFonts w:ascii="Times New Roman" w:eastAsiaTheme="minorEastAsia" w:hAnsi="Times New Roman"/>
          <w:b/>
          <w:i/>
          <w:lang w:val="en-US"/>
        </w:rPr>
        <w:t xml:space="preserve"> </w:t>
      </w:r>
      <w:r w:rsidR="00ED5E94" w:rsidRPr="00626F35">
        <w:rPr>
          <w:rStyle w:val="AlcmChar"/>
          <w:rFonts w:ascii="Times New Roman" w:eastAsiaTheme="minorEastAsia" w:hAnsi="Times New Roman"/>
          <w:b/>
          <w:i/>
          <w:lang w:val="en-US"/>
        </w:rPr>
        <w:t xml:space="preserve"> </w:t>
      </w:r>
      <w:r w:rsidR="00C15EBC" w:rsidRPr="00626F35">
        <w:rPr>
          <w:rStyle w:val="AlcmChar"/>
          <w:rFonts w:ascii="Times New Roman" w:eastAsiaTheme="minorEastAsia" w:hAnsi="Times New Roman"/>
          <w:b/>
          <w:i/>
          <w:lang w:val="en-US"/>
        </w:rPr>
        <w:t xml:space="preserve">      </w:t>
      </w:r>
      <w:r w:rsidR="001858CA" w:rsidRPr="00626F35">
        <w:rPr>
          <w:rStyle w:val="AlcmChar"/>
          <w:rFonts w:ascii="Times New Roman" w:eastAsiaTheme="minorEastAsia" w:hAnsi="Times New Roman"/>
          <w:b/>
          <w:i/>
          <w:lang w:val="en-US"/>
        </w:rPr>
        <w:t xml:space="preserve"> </w:t>
      </w:r>
    </w:p>
    <w:p w:rsidR="00494D93" w:rsidRDefault="00494D93" w:rsidP="00494D93">
      <w:pPr>
        <w:spacing w:after="0" w:line="240" w:lineRule="auto"/>
        <w:ind w:firstLine="284"/>
        <w:jc w:val="both"/>
        <w:rPr>
          <w:rStyle w:val="AlcmChar"/>
          <w:rFonts w:ascii="Times New Roman" w:eastAsiaTheme="minorEastAsia" w:hAnsi="Times New Roman"/>
        </w:rPr>
      </w:pPr>
      <w:r>
        <w:rPr>
          <w:rStyle w:val="AlcmChar"/>
          <w:rFonts w:ascii="Times New Roman" w:eastAsiaTheme="minorEastAsia" w:hAnsi="Times New Roman"/>
        </w:rPr>
        <w:t xml:space="preserve">   </w:t>
      </w:r>
    </w:p>
    <w:p w:rsidR="00494D93" w:rsidRDefault="00494D93" w:rsidP="00494D93">
      <w:pPr>
        <w:spacing w:after="0" w:line="240" w:lineRule="auto"/>
        <w:jc w:val="both"/>
        <w:rPr>
          <w:rStyle w:val="AlcmChar"/>
          <w:rFonts w:ascii="Times New Roman" w:eastAsiaTheme="minorEastAsia" w:hAnsi="Times New Roman"/>
        </w:rPr>
      </w:pPr>
      <w:r w:rsidRPr="00752C6B">
        <w:rPr>
          <w:rStyle w:val="AlcmChar"/>
          <w:rFonts w:ascii="Times New Roman" w:eastAsiaTheme="minorEastAsia" w:hAnsi="Times New Roman"/>
          <w:lang w:val="en-US"/>
        </w:rPr>
        <w:t xml:space="preserve">The CJEU </w:t>
      </w:r>
      <w:r w:rsidR="00AD0E6B" w:rsidRPr="00752C6B">
        <w:rPr>
          <w:rStyle w:val="AlcmChar"/>
          <w:rFonts w:ascii="Times New Roman" w:eastAsiaTheme="minorEastAsia" w:hAnsi="Times New Roman"/>
          <w:lang w:val="en-US"/>
        </w:rPr>
        <w:t>did</w:t>
      </w:r>
      <w:r w:rsidRPr="00752C6B">
        <w:rPr>
          <w:rStyle w:val="AlcmChar"/>
          <w:rFonts w:ascii="Times New Roman" w:eastAsiaTheme="minorEastAsia" w:hAnsi="Times New Roman"/>
          <w:lang w:val="en-US"/>
        </w:rPr>
        <w:t xml:space="preserve"> not </w:t>
      </w:r>
      <w:r w:rsidR="00AD0E6B" w:rsidRPr="00752C6B">
        <w:rPr>
          <w:rStyle w:val="AlcmChar"/>
          <w:rFonts w:ascii="Times New Roman" w:eastAsiaTheme="minorEastAsia" w:hAnsi="Times New Roman"/>
          <w:lang w:val="en-US"/>
        </w:rPr>
        <w:t>share the position outli</w:t>
      </w:r>
      <w:r w:rsidR="00752C6B" w:rsidRPr="00752C6B">
        <w:rPr>
          <w:rStyle w:val="AlcmChar"/>
          <w:rFonts w:ascii="Times New Roman" w:eastAsiaTheme="minorEastAsia" w:hAnsi="Times New Roman"/>
          <w:lang w:val="en-US"/>
        </w:rPr>
        <w:t>ned</w:t>
      </w:r>
      <w:r w:rsidR="00AD0E6B" w:rsidRPr="00752C6B">
        <w:rPr>
          <w:rStyle w:val="AlcmChar"/>
          <w:rFonts w:ascii="Times New Roman" w:eastAsiaTheme="minorEastAsia" w:hAnsi="Times New Roman"/>
          <w:lang w:val="en-US"/>
        </w:rPr>
        <w:t xml:space="preserve"> above.</w:t>
      </w:r>
      <w:r>
        <w:rPr>
          <w:rStyle w:val="AlcmChar"/>
          <w:rFonts w:ascii="Times New Roman" w:eastAsiaTheme="minorEastAsia" w:hAnsi="Times New Roman"/>
        </w:rPr>
        <w:t xml:space="preserve"> In response to the preliminary questions submitted by the Irish court, in point 2 of its rulings, as quoted above, it stated as follows: </w:t>
      </w:r>
    </w:p>
    <w:p w:rsidR="00494D93" w:rsidRDefault="00494D93" w:rsidP="00494D93">
      <w:pPr>
        <w:spacing w:before="100" w:beforeAutospacing="1" w:after="240" w:line="240" w:lineRule="auto"/>
        <w:ind w:left="567"/>
        <w:jc w:val="both"/>
        <w:rPr>
          <w:rFonts w:eastAsia="Times New Roman"/>
          <w:bCs/>
        </w:rPr>
      </w:pPr>
      <w:r>
        <w:rPr>
          <w:rFonts w:ascii="Times New Roman" w:eastAsia="Times New Roman" w:hAnsi="Times New Roman" w:cs="Times New Roman"/>
          <w:bCs/>
          <w:sz w:val="24"/>
          <w:szCs w:val="24"/>
        </w:rPr>
        <w:t>Article 15(3) of the [WPPT| and Article 8(2) of Directive 2006/115 must,</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xml:space="preserve">as EU law currently stands, </w:t>
      </w:r>
      <w:r>
        <w:rPr>
          <w:rFonts w:ascii="Times New Roman" w:eastAsia="Times New Roman" w:hAnsi="Times New Roman" w:cs="Times New Roman"/>
          <w:bCs/>
          <w:i/>
          <w:sz w:val="24"/>
          <w:szCs w:val="24"/>
        </w:rPr>
        <w:t>be interpreted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as meaning that reservations notified by third States under Article 15(3) of the [WPPT] that have the effect of limiting on their territories the right to a single equitable remuneration</w:t>
      </w:r>
      <w:r>
        <w:rPr>
          <w:rFonts w:ascii="Times New Roman" w:eastAsia="Times New Roman" w:hAnsi="Times New Roman" w:cs="Times New Roman"/>
          <w:bCs/>
          <w:sz w:val="24"/>
          <w:szCs w:val="24"/>
        </w:rPr>
        <w:t xml:space="preserve"> laid down in Article 15(1) thereof </w:t>
      </w:r>
      <w:r>
        <w:rPr>
          <w:rFonts w:ascii="Times New Roman" w:eastAsia="Times New Roman" w:hAnsi="Times New Roman" w:cs="Times New Roman"/>
          <w:bCs/>
          <w:i/>
          <w:sz w:val="24"/>
          <w:szCs w:val="24"/>
        </w:rPr>
        <w:t>do not lead in the European Union to limitations of the right provided for in Article 8(2) of Directive 2006/115, in respect of nationals of those third States,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but such limitations may be introduced</w:t>
      </w:r>
      <w:r>
        <w:rPr>
          <w:rFonts w:ascii="Times New Roman" w:eastAsia="Times New Roman" w:hAnsi="Times New Roman" w:cs="Times New Roman"/>
          <w:bCs/>
          <w:sz w:val="24"/>
          <w:szCs w:val="24"/>
        </w:rPr>
        <w:t xml:space="preserve"> by the EU legislature, provided that they comply with the requirements of Article 52(1) of the Charter of Fundamental Rights of the European Union. </w:t>
      </w:r>
      <w:r>
        <w:rPr>
          <w:rFonts w:ascii="Times New Roman" w:eastAsia="Times New Roman" w:hAnsi="Times New Roman" w:cs="Times New Roman"/>
          <w:bCs/>
          <w:i/>
          <w:sz w:val="24"/>
          <w:szCs w:val="24"/>
        </w:rPr>
        <w:t xml:space="preserve">Article 8(2) of Directive 2006/115 therefore precludes a Member State from limiting the right to a single equitable remuneration in respect of performers and phonogram producers who are nationals of those third States. </w:t>
      </w:r>
      <w:r>
        <w:rPr>
          <w:rFonts w:ascii="Times New Roman" w:eastAsia="Times New Roman" w:hAnsi="Times New Roman" w:cs="Times New Roman"/>
          <w:bCs/>
          <w:sz w:val="24"/>
          <w:szCs w:val="24"/>
        </w:rPr>
        <w:t xml:space="preserve">[Emphasis added.] </w:t>
      </w:r>
    </w:p>
    <w:p w:rsidR="00494D93" w:rsidRDefault="00494D93" w:rsidP="00494D93">
      <w:pPr>
        <w:spacing w:after="0" w:line="240" w:lineRule="auto"/>
        <w:jc w:val="both"/>
        <w:rPr>
          <w:rStyle w:val="AlcmChar"/>
          <w:rFonts w:ascii="Times New Roman" w:eastAsiaTheme="minorEastAsia" w:hAnsi="Times New Roman"/>
        </w:rPr>
      </w:pPr>
      <w:r>
        <w:rPr>
          <w:rStyle w:val="AlcmChar"/>
          <w:rFonts w:ascii="Times New Roman" w:eastAsiaTheme="minorEastAsia" w:hAnsi="Times New Roman"/>
        </w:rPr>
        <w:t>The ruling implies that Article 4(2) cannot be used directly as a basis to exclude the application of the right to a single equitable remuneration provided in Article 8(2) of Directive</w:t>
      </w:r>
      <w:r w:rsidR="00487DA4">
        <w:rPr>
          <w:rStyle w:val="AlcmChar"/>
          <w:rFonts w:ascii="Times New Roman" w:eastAsiaTheme="minorEastAsia" w:hAnsi="Times New Roman"/>
          <w:lang w:val="hu-HU"/>
        </w:rPr>
        <w:t xml:space="preserve"> </w:t>
      </w:r>
      <w:r w:rsidR="00487DA4" w:rsidRPr="00665177">
        <w:rPr>
          <w:rFonts w:ascii="Times New Roman" w:eastAsia="Times New Roman" w:hAnsi="Times New Roman" w:cs="Times New Roman"/>
          <w:bCs/>
          <w:sz w:val="24"/>
          <w:szCs w:val="24"/>
        </w:rPr>
        <w:t>2006/115/EC</w:t>
      </w:r>
      <w:r>
        <w:rPr>
          <w:rStyle w:val="AlcmChar"/>
          <w:rFonts w:ascii="Times New Roman" w:eastAsiaTheme="minorEastAsia" w:hAnsi="Times New Roman"/>
        </w:rPr>
        <w:t>. According to the Court, the right is granted to any performers and producers without any limitations of their nationality irrespective of whether or not their Contracting Parties have made reservations and even irrespective of whether or not their countries are Contracting Parties of the WPPT at all</w:t>
      </w:r>
      <w:r w:rsidR="00A54FD8">
        <w:rPr>
          <w:rStyle w:val="AlcmChar"/>
          <w:rFonts w:ascii="Times New Roman" w:eastAsiaTheme="minorEastAsia" w:hAnsi="Times New Roman"/>
          <w:lang w:val="hu-HU"/>
        </w:rPr>
        <w:t>. A</w:t>
      </w:r>
      <w:r>
        <w:rPr>
          <w:rStyle w:val="AlcmChar"/>
          <w:rFonts w:ascii="Times New Roman" w:eastAsiaTheme="minorEastAsia" w:hAnsi="Times New Roman"/>
        </w:rPr>
        <w:t xml:space="preserve">ccording to this point of the rulings, the application of Article 4(2) of the Treaty would mean a </w:t>
      </w:r>
      <w:r w:rsidR="00487DA4">
        <w:rPr>
          <w:rStyle w:val="AlcmChar"/>
          <w:rFonts w:ascii="Times New Roman" w:eastAsiaTheme="minorEastAsia" w:hAnsi="Times New Roman"/>
          <w:lang w:val="hu-HU"/>
        </w:rPr>
        <w:t>„</w:t>
      </w:r>
      <w:r>
        <w:rPr>
          <w:rStyle w:val="AlcmChar"/>
          <w:rFonts w:ascii="Times New Roman" w:eastAsiaTheme="minorEastAsia" w:hAnsi="Times New Roman"/>
        </w:rPr>
        <w:t>limitation</w:t>
      </w:r>
      <w:r w:rsidR="00487DA4">
        <w:rPr>
          <w:rStyle w:val="AlcmChar"/>
          <w:rFonts w:ascii="Times New Roman" w:eastAsiaTheme="minorEastAsia" w:hAnsi="Times New Roman"/>
          <w:lang w:val="hu-HU"/>
        </w:rPr>
        <w:t>”</w:t>
      </w:r>
      <w:r>
        <w:rPr>
          <w:rStyle w:val="AlcmChar"/>
          <w:rFonts w:ascii="Times New Roman" w:eastAsiaTheme="minorEastAsia" w:hAnsi="Times New Roman"/>
        </w:rPr>
        <w:t xml:space="preserve"> of this right for which, however – as the Court has pointed out – a provision would be needed in accordance with the requirements of Article 52(1) of the Charter of Fundamental Rights. With due respect, this ruling does not seem to be well-founded for various reasons:  </w:t>
      </w:r>
    </w:p>
    <w:p w:rsidR="00494D93" w:rsidRDefault="00494D93" w:rsidP="00494D93">
      <w:pPr>
        <w:spacing w:after="0" w:line="240" w:lineRule="auto"/>
        <w:jc w:val="both"/>
        <w:rPr>
          <w:rStyle w:val="AlcmChar"/>
          <w:rFonts w:ascii="Times New Roman" w:eastAsiaTheme="minorEastAsia" w:hAnsi="Times New Roman"/>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First, Article 4(2) of the WPPT reads as follows: “</w:t>
      </w:r>
      <w:r>
        <w:rPr>
          <w:rStyle w:val="AlcmChar"/>
          <w:rFonts w:ascii="Times New Roman" w:eastAsiaTheme="minorEastAsia" w:hAnsi="Times New Roman"/>
          <w:i/>
        </w:rPr>
        <w:t>The obligation</w:t>
      </w:r>
      <w:r>
        <w:rPr>
          <w:rStyle w:val="AlcmChar"/>
          <w:rFonts w:ascii="Times New Roman" w:eastAsiaTheme="minorEastAsia" w:hAnsi="Times New Roman"/>
        </w:rPr>
        <w:t xml:space="preserve"> provided for in paragraph (1) [to grant national treatment, inter alia, with regard to Article 15 on the right to a single equitable remuneration] </w:t>
      </w:r>
      <w:r w:rsidRPr="00D751A5">
        <w:rPr>
          <w:rStyle w:val="AlcmChar"/>
          <w:rFonts w:ascii="Times New Roman" w:eastAsiaTheme="minorEastAsia" w:hAnsi="Times New Roman"/>
          <w:i/>
          <w:u w:val="single"/>
        </w:rPr>
        <w:t>does not apply</w:t>
      </w:r>
      <w:r>
        <w:rPr>
          <w:rStyle w:val="AlcmChar"/>
          <w:rFonts w:ascii="Times New Roman" w:eastAsiaTheme="minorEastAsia" w:hAnsi="Times New Roman"/>
        </w:rPr>
        <w:t xml:space="preserve"> to the extent that another Contracting Party makes use of the reservations permitted by Article 15(3) of this Treaty” [emphasis added]. That is, </w:t>
      </w:r>
      <w:r w:rsidRPr="00D751A5">
        <w:rPr>
          <w:rStyle w:val="AlcmChar"/>
          <w:rFonts w:ascii="Times New Roman" w:eastAsiaTheme="minorEastAsia" w:hAnsi="Times New Roman"/>
          <w:i/>
          <w:u w:val="single"/>
        </w:rPr>
        <w:t>there is no obligation</w:t>
      </w:r>
      <w:r>
        <w:rPr>
          <w:rStyle w:val="AlcmChar"/>
          <w:rFonts w:ascii="Times New Roman" w:eastAsiaTheme="minorEastAsia" w:hAnsi="Times New Roman"/>
        </w:rPr>
        <w:t xml:space="preserve"> of the E.U. and its Member States to provide for the right; </w:t>
      </w:r>
      <w:r w:rsidRPr="00D751A5">
        <w:rPr>
          <w:rStyle w:val="AlcmChar"/>
          <w:rFonts w:ascii="Times New Roman" w:eastAsiaTheme="minorEastAsia" w:hAnsi="Times New Roman"/>
          <w:i/>
          <w:u w:val="single"/>
        </w:rPr>
        <w:t>there is no beneficiary, there is no right to limit.</w:t>
      </w:r>
      <w:r>
        <w:rPr>
          <w:rStyle w:val="AlcmChar"/>
          <w:rFonts w:ascii="Times New Roman" w:eastAsiaTheme="minorEastAsia" w:hAnsi="Times New Roman"/>
        </w:rPr>
        <w:t xml:space="preserve"> The same is true for the absence of treaty relationship. </w:t>
      </w:r>
      <w:r>
        <w:rPr>
          <w:rStyle w:val="AlcmChar"/>
          <w:rFonts w:ascii="Times New Roman" w:eastAsiaTheme="minorEastAsia" w:hAnsi="Times New Roman"/>
          <w:i/>
        </w:rPr>
        <w:t>The acts</w:t>
      </w:r>
      <w:r>
        <w:rPr>
          <w:rStyle w:val="AlcmChar"/>
          <w:rFonts w:ascii="Times New Roman" w:eastAsiaTheme="minorEastAsia" w:hAnsi="Times New Roman"/>
        </w:rPr>
        <w:t xml:space="preserve"> performed in these cases </w:t>
      </w:r>
      <w:r>
        <w:rPr>
          <w:rStyle w:val="AlcmChar"/>
          <w:rFonts w:ascii="Times New Roman" w:eastAsiaTheme="minorEastAsia" w:hAnsi="Times New Roman"/>
          <w:i/>
        </w:rPr>
        <w:t>are outside the contour of the protection of intellectual property rights</w:t>
      </w:r>
      <w:r>
        <w:rPr>
          <w:rStyle w:val="AlcmChar"/>
          <w:rFonts w:ascii="Times New Roman" w:eastAsiaTheme="minorEastAsia" w:hAnsi="Times New Roman"/>
        </w:rPr>
        <w:t xml:space="preserve">.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Pr="009E53E6" w:rsidRDefault="00494D93" w:rsidP="00494D93">
      <w:pPr>
        <w:spacing w:after="0" w:line="240" w:lineRule="auto"/>
        <w:ind w:left="567"/>
        <w:jc w:val="both"/>
        <w:rPr>
          <w:rStyle w:val="AlcmChar"/>
          <w:rFonts w:ascii="Times New Roman" w:eastAsiaTheme="minorEastAsia" w:hAnsi="Times New Roman"/>
          <w:lang w:val="en-US"/>
        </w:rPr>
      </w:pPr>
      <w:r>
        <w:rPr>
          <w:rStyle w:val="AlcmChar"/>
          <w:rFonts w:ascii="Times New Roman" w:eastAsiaTheme="minorEastAsia" w:hAnsi="Times New Roman"/>
        </w:rPr>
        <w:t xml:space="preserve">Second, therefore, since </w:t>
      </w:r>
      <w:r>
        <w:rPr>
          <w:rStyle w:val="AlcmChar"/>
          <w:rFonts w:ascii="Times New Roman" w:eastAsiaTheme="minorEastAsia" w:hAnsi="Times New Roman"/>
          <w:i/>
        </w:rPr>
        <w:t>the limitation of non-existing rights of non-existing beneficiaries conceptually is not possible</w:t>
      </w:r>
      <w:r>
        <w:rPr>
          <w:rStyle w:val="AlcmChar"/>
          <w:rFonts w:ascii="Times New Roman" w:eastAsiaTheme="minorEastAsia" w:hAnsi="Times New Roman"/>
        </w:rPr>
        <w:t xml:space="preserve">, the applicability of </w:t>
      </w:r>
      <w:r>
        <w:rPr>
          <w:rStyle w:val="AlcmChar"/>
          <w:rFonts w:ascii="Times New Roman" w:eastAsiaTheme="minorEastAsia" w:hAnsi="Times New Roman"/>
          <w:i/>
        </w:rPr>
        <w:t>Article 52(1) of the Charter – on the question of limitations of intellectual property rights – may hardly emerge.</w:t>
      </w:r>
      <w:r>
        <w:rPr>
          <w:rStyle w:val="AlcmChar"/>
          <w:rFonts w:ascii="Times New Roman" w:eastAsiaTheme="minorEastAsia" w:hAnsi="Times New Roman"/>
        </w:rPr>
        <w:t xml:space="preserve"> (Otherwise, it is also doubtful that any concrete right and claim might be derived from Article 17(2) of the Charter according to which intellectual property rights are protected, and the same seems to be true concerning concrete limitations. It is not the Charter but the specific EU norms – in accordance with the relevant international treaties – which determine what “intellectual </w:t>
      </w:r>
      <w:r w:rsidRPr="009E53E6">
        <w:rPr>
          <w:rStyle w:val="AlcmChar"/>
          <w:rFonts w:ascii="Times New Roman" w:eastAsiaTheme="minorEastAsia" w:hAnsi="Times New Roman"/>
          <w:lang w:val="en-US"/>
        </w:rPr>
        <w:t xml:space="preserve">property rights” are provided and what limitations under what conditions may be applied.) </w:t>
      </w:r>
      <w:r w:rsidR="00387EC1" w:rsidRPr="009E53E6">
        <w:rPr>
          <w:rStyle w:val="AlcmChar"/>
          <w:rFonts w:ascii="Times New Roman" w:eastAsiaTheme="minorEastAsia" w:hAnsi="Times New Roman"/>
          <w:lang w:val="en-US"/>
        </w:rPr>
        <w:t>In this connection, it should also be seen that – in contrast for example with the US Constitution, Article 17(1) is a dumb provision without any su</w:t>
      </w:r>
      <w:r w:rsidR="00D751A5">
        <w:rPr>
          <w:rStyle w:val="AlcmChar"/>
          <w:rFonts w:ascii="Times New Roman" w:eastAsiaTheme="minorEastAsia" w:hAnsi="Times New Roman"/>
          <w:lang w:val="en-US"/>
        </w:rPr>
        <w:t>b</w:t>
      </w:r>
      <w:r w:rsidR="00387EC1" w:rsidRPr="009E53E6">
        <w:rPr>
          <w:rStyle w:val="AlcmChar"/>
          <w:rFonts w:ascii="Times New Roman" w:eastAsiaTheme="minorEastAsia" w:hAnsi="Times New Roman"/>
          <w:lang w:val="en-US"/>
        </w:rPr>
        <w:t>stantive element leaving the determination of intellectu</w:t>
      </w:r>
      <w:r w:rsidR="009E53E6">
        <w:rPr>
          <w:rStyle w:val="AlcmChar"/>
          <w:rFonts w:ascii="Times New Roman" w:eastAsiaTheme="minorEastAsia" w:hAnsi="Times New Roman"/>
          <w:lang w:val="en-US"/>
        </w:rPr>
        <w:t>a</w:t>
      </w:r>
      <w:r w:rsidR="00387EC1" w:rsidRPr="009E53E6">
        <w:rPr>
          <w:rStyle w:val="AlcmChar"/>
          <w:rFonts w:ascii="Times New Roman" w:eastAsiaTheme="minorEastAsia" w:hAnsi="Times New Roman"/>
          <w:lang w:val="en-US"/>
        </w:rPr>
        <w:t>l property rights to the provisions of various branches thereof on the basis of the criteria applicable in those branches.</w:t>
      </w:r>
      <w:r w:rsidR="00387EC1" w:rsidRPr="009E53E6">
        <w:rPr>
          <w:rStyle w:val="Lbjegyzet-hivatkozs"/>
          <w:rFonts w:ascii="Times New Roman" w:eastAsiaTheme="minorEastAsia" w:hAnsi="Times New Roman" w:cs="Times New Roman"/>
          <w:sz w:val="24"/>
          <w:szCs w:val="24"/>
          <w:lang w:eastAsia="ar-SA" w:bidi="en-US"/>
        </w:rPr>
        <w:footnoteReference w:id="27"/>
      </w:r>
      <w:r w:rsidR="00387EC1" w:rsidRPr="009E53E6">
        <w:rPr>
          <w:rStyle w:val="AlcmChar"/>
          <w:rFonts w:ascii="Times New Roman" w:eastAsiaTheme="minorEastAsia" w:hAnsi="Times New Roman"/>
          <w:lang w:val="en-US"/>
        </w:rPr>
        <w:t xml:space="preserve">         </w:t>
      </w:r>
      <w:r w:rsidRPr="009E53E6">
        <w:rPr>
          <w:rStyle w:val="AlcmChar"/>
          <w:rFonts w:ascii="Times New Roman" w:eastAsiaTheme="minorEastAsia" w:hAnsi="Times New Roman"/>
          <w:lang w:val="en-US"/>
        </w:rPr>
        <w:t xml:space="preserve">        </w:t>
      </w:r>
    </w:p>
    <w:p w:rsidR="00494D93" w:rsidRPr="009E53E6" w:rsidRDefault="00494D93" w:rsidP="00494D93">
      <w:pPr>
        <w:spacing w:after="0" w:line="240" w:lineRule="auto"/>
        <w:ind w:left="567"/>
        <w:jc w:val="both"/>
        <w:rPr>
          <w:rStyle w:val="AlcmChar"/>
          <w:rFonts w:ascii="Times New Roman" w:eastAsiaTheme="minorEastAsia" w:hAnsi="Times New Roman"/>
          <w:lang w:val="en-US"/>
        </w:rPr>
      </w:pPr>
    </w:p>
    <w:p w:rsidR="00494D93" w:rsidRDefault="00494D93" w:rsidP="00494D93">
      <w:pPr>
        <w:spacing w:after="0" w:line="240" w:lineRule="auto"/>
        <w:ind w:left="567"/>
        <w:jc w:val="both"/>
        <w:rPr>
          <w:rStyle w:val="AlcmChar"/>
          <w:rFonts w:ascii="Times New Roman" w:eastAsiaTheme="minorEastAsia" w:hAnsi="Times New Roman"/>
        </w:rPr>
      </w:pPr>
      <w:r w:rsidRPr="009E53E6">
        <w:rPr>
          <w:rStyle w:val="AlcmChar"/>
          <w:rFonts w:ascii="Times New Roman" w:eastAsiaTheme="minorEastAsia" w:hAnsi="Times New Roman"/>
          <w:lang w:val="en-US"/>
        </w:rPr>
        <w:t>Third, there are two methods applied in national laws to extend protection to</w:t>
      </w:r>
      <w:r>
        <w:rPr>
          <w:rStyle w:val="AlcmChar"/>
          <w:rFonts w:ascii="Times New Roman" w:eastAsiaTheme="minorEastAsia" w:hAnsi="Times New Roman"/>
        </w:rPr>
        <w:t xml:space="preserve"> nationals of foreign countries. One is the system that is usually applied in common law countries, where the extension takes place </w:t>
      </w:r>
      <w:r>
        <w:rPr>
          <w:rStyle w:val="AlcmChar"/>
          <w:rFonts w:ascii="Times New Roman" w:eastAsiaTheme="minorEastAsia" w:hAnsi="Times New Roman"/>
          <w:i/>
        </w:rPr>
        <w:t>through separate orders or decrees</w:t>
      </w:r>
      <w:r>
        <w:rPr>
          <w:rStyle w:val="AlcmChar"/>
          <w:rFonts w:ascii="Times New Roman" w:eastAsiaTheme="minorEastAsia" w:hAnsi="Times New Roman"/>
        </w:rPr>
        <w:t>; in the E.U., this is not frequent but Ireland happens to apply it.</w:t>
      </w:r>
      <w:r>
        <w:rPr>
          <w:rStyle w:val="Lbjegyzet-hivatkozs"/>
          <w:rFonts w:ascii="Times New Roman" w:eastAsiaTheme="minorEastAsia" w:hAnsi="Times New Roman" w:cs="Times New Roman"/>
          <w:sz w:val="24"/>
          <w:szCs w:val="24"/>
          <w:lang w:eastAsia="ar-SA" w:bidi="en-US"/>
        </w:rPr>
        <w:footnoteReference w:id="28"/>
      </w:r>
      <w:r>
        <w:rPr>
          <w:rStyle w:val="AlcmChar"/>
          <w:rFonts w:ascii="Times New Roman" w:eastAsiaTheme="minorEastAsia" w:hAnsi="Times New Roman"/>
        </w:rPr>
        <w:t xml:space="preserve"> The other method is – and it is what the overwhelming majority of EU Member States apply – the </w:t>
      </w:r>
      <w:r>
        <w:rPr>
          <w:rStyle w:val="AlcmChar"/>
          <w:rFonts w:ascii="Times New Roman" w:eastAsiaTheme="minorEastAsia" w:hAnsi="Times New Roman"/>
          <w:i/>
        </w:rPr>
        <w:t>inclusion of a general provision in national laws</w:t>
      </w:r>
      <w:r>
        <w:rPr>
          <w:rStyle w:val="AlcmChar"/>
          <w:rFonts w:ascii="Times New Roman" w:eastAsiaTheme="minorEastAsia" w:hAnsi="Times New Roman"/>
        </w:rPr>
        <w:t xml:space="preserve"> to state that, in addition to the rights provided for nationals (and the nationals of the EEA Member States), rights are granted also to the nationals of countries</w:t>
      </w:r>
      <w:r>
        <w:rPr>
          <w:rStyle w:val="AlcmChar"/>
          <w:rFonts w:ascii="Times New Roman" w:eastAsiaTheme="minorEastAsia" w:hAnsi="Times New Roman"/>
          <w:i/>
        </w:rPr>
        <w:t xml:space="preserve"> in accordance with the obligations under the international treaties</w:t>
      </w:r>
      <w:r>
        <w:rPr>
          <w:rStyle w:val="AlcmChar"/>
          <w:rFonts w:ascii="Times New Roman" w:eastAsiaTheme="minorEastAsia" w:hAnsi="Times New Roman"/>
        </w:rPr>
        <w:t xml:space="preserve"> binding the Member States concerned.</w:t>
      </w:r>
      <w:r>
        <w:rPr>
          <w:rStyle w:val="Lbjegyzet-hivatkozs"/>
          <w:rFonts w:ascii="Times New Roman" w:eastAsiaTheme="minorEastAsia" w:hAnsi="Times New Roman" w:cs="Times New Roman"/>
          <w:sz w:val="24"/>
          <w:szCs w:val="24"/>
          <w:lang w:eastAsia="ar-SA" w:bidi="en-US"/>
        </w:rPr>
        <w:footnoteReference w:id="29"/>
      </w:r>
      <w:r>
        <w:rPr>
          <w:rStyle w:val="AlcmChar"/>
          <w:rFonts w:ascii="Times New Roman" w:eastAsiaTheme="minorEastAsia" w:hAnsi="Times New Roman"/>
        </w:rPr>
        <w:t xml:space="preserve"> These provisions fulfill the role of the possible need for clarification referred to in point 2 of the </w:t>
      </w:r>
      <w:r>
        <w:rPr>
          <w:rStyle w:val="AlcmChar"/>
          <w:rFonts w:ascii="Times New Roman" w:eastAsiaTheme="minorEastAsia" w:hAnsi="Times New Roman"/>
          <w:i/>
        </w:rPr>
        <w:t>RAAP</w:t>
      </w:r>
      <w:r>
        <w:rPr>
          <w:rStyle w:val="AlcmChar"/>
          <w:rFonts w:ascii="Times New Roman" w:eastAsiaTheme="minorEastAsia" w:hAnsi="Times New Roman"/>
        </w:rPr>
        <w:t xml:space="preserve"> rulings; they have been applied without any problem to determine what is protected and what is not. The question, if it has been raised at all, has been solved satisfactorily at Member States level through these provisions since the establishment of the E.U. and even since the setting up of the predecessor European integration frameworks. If now it has become an issue in Ireland, it has not derived from the absence of an EU level provision in the Directive to clarify the status of foreigners, but because the CRRA, as the CJEU has found it, does not provide a right to equitable remuneration in accordance with Article 8(2) of the Directive, and because Ireland apparently has not applied any of the above-mentioned two methods of extending the right to foreign performers in accordance within its obligations under the WPPT.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 xml:space="preserve">Fourth, granting national treatment in respect of the uses of the performances of foreign nationals in accordance with Article 4(1) of the WPPT is an obligation of the E.U. and its Member States; however, on the understanding that the obligation does </w:t>
      </w:r>
      <w:r>
        <w:rPr>
          <w:rStyle w:val="AlcmChar"/>
          <w:rFonts w:ascii="Times New Roman" w:eastAsiaTheme="minorEastAsia" w:hAnsi="Times New Roman"/>
          <w:i/>
        </w:rPr>
        <w:t>not</w:t>
      </w:r>
      <w:r>
        <w:rPr>
          <w:rStyle w:val="AlcmChar"/>
          <w:rFonts w:ascii="Times New Roman" w:eastAsiaTheme="minorEastAsia" w:hAnsi="Times New Roman"/>
        </w:rPr>
        <w:t xml:space="preserve"> extend to the cases mentioned in Article 4(2) of the Treaty. It is not realistic to presume that, when the competent organs of the E.U. decided to ratify and implement the Treaty, they had the intention either not to apply the obligation to grant national treatment or to extend it to cases where there is no such obligation. As any other cases where national treatment – with or with limitations – is to apply, it was considered to be obvious (as it really was) that the rights of foreigners were to apply in accordance with the obligations under the international treaties within the limits thereof. It was also clear that national laws had duly clarified this as mentioned in the preceding point.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 xml:space="preserve">Fifth, it seems that the reason for which, in general, there are no provisions about this issue in the EU legislation was exactly the obviousness of the issue settled by the international treaties. This was certainly the reason for which the CJEU in </w:t>
      </w:r>
      <w:r>
        <w:rPr>
          <w:rStyle w:val="AlcmChar"/>
          <w:rFonts w:ascii="Times New Roman" w:eastAsiaTheme="minorEastAsia" w:hAnsi="Times New Roman"/>
          <w:i/>
        </w:rPr>
        <w:t>SENA</w:t>
      </w:r>
      <w:r>
        <w:rPr>
          <w:rStyle w:val="Lbjegyzet-hivatkozs"/>
          <w:rFonts w:ascii="Times New Roman" w:eastAsiaTheme="minorEastAsia" w:hAnsi="Times New Roman" w:cs="Times New Roman"/>
          <w:i/>
          <w:sz w:val="24"/>
          <w:szCs w:val="24"/>
          <w:lang w:eastAsia="ar-SA" w:bidi="en-US"/>
        </w:rPr>
        <w:footnoteReference w:id="30"/>
      </w:r>
      <w:r>
        <w:rPr>
          <w:rStyle w:val="AlcmChar"/>
          <w:rFonts w:ascii="Times New Roman" w:eastAsiaTheme="minorEastAsia" w:hAnsi="Times New Roman"/>
        </w:rPr>
        <w:t xml:space="preserve"> did not include in the judgment the analysis and statements made by Advocate General Antonio Tizzano in his opinion, who pointed out that national treatment provided in the international treaties binding the E.U. and its Member States is part of the EU law. Although the case concerned the application of Article 8(2) of the Rental, Lending and Related Rights Directive in its original Directive 92/160/EEC version before the implementation of the WPPT in the E.U., the analysis and statements made in view of treaties applicable at that time – the TRIPS Agreement and the Rome Convention – were of a general nature about the question of national treatment obligations.</w:t>
      </w:r>
      <w:r>
        <w:rPr>
          <w:rStyle w:val="Lbjegyzet-hivatkozs"/>
          <w:rFonts w:ascii="Times New Roman" w:eastAsiaTheme="minorEastAsia" w:hAnsi="Times New Roman" w:cs="Times New Roman"/>
          <w:sz w:val="24"/>
          <w:szCs w:val="24"/>
          <w:lang w:eastAsia="ar-SA" w:bidi="en-US"/>
        </w:rPr>
        <w:footnoteReference w:id="31"/>
      </w:r>
      <w:r>
        <w:rPr>
          <w:rStyle w:val="AlcmChar"/>
          <w:rFonts w:ascii="Times New Roman" w:eastAsiaTheme="minorEastAsia" w:hAnsi="Times New Roman"/>
        </w:rPr>
        <w:t xml:space="preserve"> This is such a key point of the extent of protection that, if the CJEU had not agreed with the AG, it certainly would had clarified it in the judgment; but it did not, certainly because it had not found the AG’s analysis and statements badly founded</w:t>
      </w:r>
      <w:r>
        <w:rPr>
          <w:rStyle w:val="AlcmChar"/>
          <w:rFonts w:ascii="Times New Roman" w:eastAsiaTheme="minorEastAsia" w:hAnsi="Times New Roman"/>
          <w:i/>
        </w:rPr>
        <w:t>.</w:t>
      </w:r>
      <w:r>
        <w:rPr>
          <w:rStyle w:val="AlcmChar"/>
          <w:rFonts w:ascii="Times New Roman" w:eastAsiaTheme="minorEastAsia" w:hAnsi="Times New Roman"/>
        </w:rPr>
        <w:t xml:space="preserve">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 xml:space="preserve">Sixth, it would hardly be a well-founded assumption that the E.U. and its Member States did not consider it clear that the provisions of the WPPT on the obligation of national treatment and its limitation in Article 4(2) are parts of the EU law, because the delegations of the E.U (at that time, the European Community) and its Members States were key negotiators insisting on the adoption of Article 4(2) which corresponded to the consistently represented policy of the Community to avoid accepting unilateral legal and financial burdens.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Default="00494D93" w:rsidP="00494D93">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Seventh, it is a basic principle of the CJEU – stated in a number of judgements</w:t>
      </w:r>
      <w:r>
        <w:rPr>
          <w:rStyle w:val="Lbjegyzet-hivatkozs"/>
          <w:rFonts w:ascii="Times New Roman" w:eastAsiaTheme="minorEastAsia" w:hAnsi="Times New Roman" w:cs="Times New Roman"/>
          <w:sz w:val="24"/>
          <w:szCs w:val="24"/>
          <w:lang w:eastAsia="ar-SA" w:bidi="en-US"/>
        </w:rPr>
        <w:footnoteReference w:id="32"/>
      </w:r>
      <w:r>
        <w:rPr>
          <w:rStyle w:val="AlcmChar"/>
          <w:rFonts w:ascii="Times New Roman" w:eastAsiaTheme="minorEastAsia" w:hAnsi="Times New Roman"/>
        </w:rPr>
        <w:t xml:space="preserve"> – that the interpretation of the EU norms should be in accordance, as far as possible, with the provisions of the international treaties binding the E.U. and its Member States. It is respectfully submitted that there was no good reason for which the CJEU did not apply this principle in the interpretation of Article 8(2) of Directive </w:t>
      </w:r>
      <w:r w:rsidR="00487DA4" w:rsidRPr="00665177">
        <w:rPr>
          <w:rFonts w:ascii="Times New Roman" w:eastAsia="Times New Roman" w:hAnsi="Times New Roman" w:cs="Times New Roman"/>
          <w:bCs/>
          <w:sz w:val="24"/>
          <w:szCs w:val="24"/>
        </w:rPr>
        <w:t>2006/115/EC</w:t>
      </w:r>
      <w:r w:rsidR="00487DA4">
        <w:rPr>
          <w:rStyle w:val="AlcmChar"/>
          <w:rFonts w:ascii="Times New Roman" w:eastAsiaTheme="minorEastAsia" w:hAnsi="Times New Roman"/>
        </w:rPr>
        <w:t xml:space="preserve"> </w:t>
      </w:r>
      <w:r>
        <w:rPr>
          <w:rStyle w:val="AlcmChar"/>
          <w:rFonts w:ascii="Times New Roman" w:eastAsiaTheme="minorEastAsia" w:hAnsi="Times New Roman"/>
        </w:rPr>
        <w:t xml:space="preserve">and introduced instead a burdensome new obligation for the E.U. and its Member States that does not follow from their Treaty obligations.             </w:t>
      </w:r>
    </w:p>
    <w:p w:rsidR="00494D93" w:rsidRDefault="00494D93" w:rsidP="00494D93">
      <w:pPr>
        <w:spacing w:after="0" w:line="240" w:lineRule="auto"/>
        <w:ind w:left="567"/>
        <w:jc w:val="both"/>
        <w:rPr>
          <w:rStyle w:val="AlcmChar"/>
          <w:rFonts w:ascii="Times New Roman" w:eastAsiaTheme="minorEastAsia" w:hAnsi="Times New Roman"/>
        </w:rPr>
      </w:pPr>
    </w:p>
    <w:p w:rsidR="00494D93" w:rsidRPr="002F1F60" w:rsidRDefault="00494D93" w:rsidP="00494D93">
      <w:pPr>
        <w:pStyle w:val="Szvegtrzs"/>
        <w:tabs>
          <w:tab w:val="left" w:pos="448"/>
          <w:tab w:val="left" w:pos="567"/>
        </w:tabs>
        <w:ind w:left="567"/>
        <w:jc w:val="both"/>
        <w:rPr>
          <w:rFonts w:cs="Times New Roman"/>
          <w:w w:val="105"/>
        </w:rPr>
      </w:pPr>
      <w:r w:rsidRPr="002F1F60">
        <w:rPr>
          <w:rStyle w:val="AlcmChar"/>
          <w:rFonts w:ascii="Times New Roman" w:eastAsiaTheme="minorEastAsia" w:hAnsi="Times New Roman"/>
        </w:rPr>
        <w:t>Eighth, where foreign nationals do not enjoy a right – not because an exception to or limitation of an otherwise existing right is applied, but because no such right is granted  in absence of international obligations – the use of the subject matter is free; in that respect, it is part of the public domain. In such a case, one cannot speak about any term of protection of the subject matter – in the given case, the phonograms published for commercial purposes. This is made clear in Article 7(2) of the Terms Directive (Directive 2006/116/EC) which provides as follows concerning the terms of protection of related rights under Article 3 of the Directive: “</w:t>
      </w:r>
      <w:r w:rsidRPr="002F1F60">
        <w:rPr>
          <w:rFonts w:cs="Times New Roman"/>
          <w:w w:val="105"/>
          <w:sz w:val="24"/>
          <w:szCs w:val="24"/>
        </w:rPr>
        <w:t>without</w:t>
      </w:r>
      <w:r w:rsidRPr="002F1F60">
        <w:rPr>
          <w:rFonts w:cs="Times New Roman"/>
          <w:spacing w:val="19"/>
          <w:w w:val="105"/>
          <w:sz w:val="24"/>
          <w:szCs w:val="24"/>
        </w:rPr>
        <w:t xml:space="preserve"> </w:t>
      </w:r>
      <w:r w:rsidRPr="002F1F60">
        <w:rPr>
          <w:rFonts w:cs="Times New Roman"/>
          <w:w w:val="105"/>
          <w:sz w:val="24"/>
          <w:szCs w:val="24"/>
        </w:rPr>
        <w:t>prejudice</w:t>
      </w:r>
      <w:r w:rsidRPr="002F1F60">
        <w:rPr>
          <w:rFonts w:cs="Times New Roman"/>
          <w:spacing w:val="21"/>
          <w:w w:val="105"/>
          <w:sz w:val="24"/>
          <w:szCs w:val="24"/>
        </w:rPr>
        <w:t xml:space="preserve"> </w:t>
      </w:r>
      <w:r w:rsidRPr="002F1F60">
        <w:rPr>
          <w:rFonts w:cs="Times New Roman"/>
          <w:spacing w:val="-2"/>
          <w:w w:val="105"/>
          <w:sz w:val="24"/>
          <w:szCs w:val="24"/>
        </w:rPr>
        <w:t>to</w:t>
      </w:r>
      <w:r w:rsidRPr="002F1F60">
        <w:rPr>
          <w:rFonts w:cs="Times New Roman"/>
          <w:spacing w:val="20"/>
          <w:w w:val="105"/>
          <w:sz w:val="24"/>
          <w:szCs w:val="24"/>
        </w:rPr>
        <w:t xml:space="preserve"> </w:t>
      </w:r>
      <w:r w:rsidRPr="002F1F60">
        <w:rPr>
          <w:rFonts w:cs="Times New Roman"/>
          <w:w w:val="105"/>
          <w:sz w:val="24"/>
          <w:szCs w:val="24"/>
        </w:rPr>
        <w:t>the</w:t>
      </w:r>
      <w:r w:rsidRPr="002F1F60">
        <w:rPr>
          <w:rFonts w:cs="Times New Roman"/>
          <w:spacing w:val="19"/>
          <w:w w:val="105"/>
          <w:sz w:val="24"/>
          <w:szCs w:val="24"/>
        </w:rPr>
        <w:t xml:space="preserve"> </w:t>
      </w:r>
      <w:r w:rsidRPr="002F1F60">
        <w:rPr>
          <w:rFonts w:cs="Times New Roman"/>
          <w:w w:val="105"/>
          <w:sz w:val="24"/>
          <w:szCs w:val="24"/>
        </w:rPr>
        <w:t>international</w:t>
      </w:r>
      <w:r w:rsidRPr="002F1F60">
        <w:rPr>
          <w:rFonts w:cs="Times New Roman"/>
          <w:spacing w:val="20"/>
          <w:w w:val="105"/>
          <w:sz w:val="24"/>
          <w:szCs w:val="24"/>
        </w:rPr>
        <w:t xml:space="preserve"> </w:t>
      </w:r>
      <w:r w:rsidRPr="002F1F60">
        <w:rPr>
          <w:rFonts w:cs="Times New Roman"/>
          <w:w w:val="105"/>
          <w:sz w:val="24"/>
          <w:szCs w:val="24"/>
        </w:rPr>
        <w:t>obligations</w:t>
      </w:r>
      <w:r w:rsidRPr="002F1F60">
        <w:rPr>
          <w:rFonts w:cs="Times New Roman"/>
          <w:spacing w:val="18"/>
          <w:w w:val="105"/>
          <w:sz w:val="24"/>
          <w:szCs w:val="24"/>
        </w:rPr>
        <w:t xml:space="preserve"> </w:t>
      </w:r>
      <w:r w:rsidRPr="002F1F60">
        <w:rPr>
          <w:rFonts w:cs="Times New Roman"/>
          <w:w w:val="105"/>
          <w:sz w:val="24"/>
          <w:szCs w:val="24"/>
        </w:rPr>
        <w:t>of</w:t>
      </w:r>
      <w:r w:rsidRPr="002F1F60">
        <w:rPr>
          <w:rFonts w:cs="Times New Roman"/>
          <w:spacing w:val="27"/>
          <w:w w:val="101"/>
          <w:sz w:val="24"/>
          <w:szCs w:val="24"/>
        </w:rPr>
        <w:t xml:space="preserve"> </w:t>
      </w:r>
      <w:r w:rsidRPr="002F1F60">
        <w:rPr>
          <w:rFonts w:cs="Times New Roman"/>
          <w:w w:val="105"/>
          <w:sz w:val="24"/>
          <w:szCs w:val="24"/>
        </w:rPr>
        <w:t>the</w:t>
      </w:r>
      <w:r w:rsidRPr="002F1F60">
        <w:rPr>
          <w:rFonts w:cs="Times New Roman"/>
          <w:spacing w:val="11"/>
          <w:w w:val="105"/>
          <w:sz w:val="24"/>
          <w:szCs w:val="24"/>
        </w:rPr>
        <w:t xml:space="preserve"> </w:t>
      </w:r>
      <w:r w:rsidRPr="002F1F60">
        <w:rPr>
          <w:rFonts w:cs="Times New Roman"/>
          <w:w w:val="105"/>
          <w:sz w:val="24"/>
          <w:szCs w:val="24"/>
        </w:rPr>
        <w:t>Member</w:t>
      </w:r>
      <w:r w:rsidRPr="002F1F60">
        <w:rPr>
          <w:rFonts w:cs="Times New Roman"/>
          <w:spacing w:val="11"/>
          <w:w w:val="105"/>
          <w:sz w:val="24"/>
          <w:szCs w:val="24"/>
        </w:rPr>
        <w:t xml:space="preserve"> </w:t>
      </w:r>
      <w:r w:rsidRPr="002F1F60">
        <w:rPr>
          <w:rFonts w:cs="Times New Roman"/>
          <w:w w:val="105"/>
          <w:sz w:val="24"/>
          <w:szCs w:val="24"/>
        </w:rPr>
        <w:t>States,</w:t>
      </w:r>
      <w:r w:rsidRPr="002F1F60">
        <w:rPr>
          <w:rFonts w:cs="Times New Roman"/>
          <w:spacing w:val="10"/>
          <w:w w:val="105"/>
          <w:sz w:val="24"/>
          <w:szCs w:val="24"/>
        </w:rPr>
        <w:t xml:space="preserve"> </w:t>
      </w:r>
      <w:r w:rsidRPr="002F1F60">
        <w:rPr>
          <w:rFonts w:cs="Times New Roman"/>
          <w:w w:val="105"/>
          <w:sz w:val="24"/>
          <w:szCs w:val="24"/>
        </w:rPr>
        <w:t>the</w:t>
      </w:r>
      <w:r w:rsidRPr="002F1F60">
        <w:rPr>
          <w:rFonts w:cs="Times New Roman"/>
          <w:spacing w:val="11"/>
          <w:w w:val="105"/>
          <w:sz w:val="24"/>
          <w:szCs w:val="24"/>
        </w:rPr>
        <w:t xml:space="preserve"> </w:t>
      </w:r>
      <w:r w:rsidRPr="002F1F60">
        <w:rPr>
          <w:rFonts w:cs="Times New Roman"/>
          <w:w w:val="105"/>
          <w:sz w:val="24"/>
          <w:szCs w:val="24"/>
        </w:rPr>
        <w:t>term</w:t>
      </w:r>
      <w:r w:rsidRPr="002F1F60">
        <w:rPr>
          <w:rFonts w:cs="Times New Roman"/>
          <w:spacing w:val="11"/>
          <w:w w:val="105"/>
          <w:sz w:val="24"/>
          <w:szCs w:val="24"/>
        </w:rPr>
        <w:t xml:space="preserve"> </w:t>
      </w:r>
      <w:r w:rsidRPr="002F1F60">
        <w:rPr>
          <w:rFonts w:cs="Times New Roman"/>
          <w:w w:val="105"/>
          <w:sz w:val="24"/>
          <w:szCs w:val="24"/>
        </w:rPr>
        <w:t>of</w:t>
      </w:r>
      <w:r w:rsidRPr="002F1F60">
        <w:rPr>
          <w:rFonts w:cs="Times New Roman"/>
          <w:spacing w:val="12"/>
          <w:w w:val="105"/>
          <w:sz w:val="24"/>
          <w:szCs w:val="24"/>
        </w:rPr>
        <w:t xml:space="preserve"> </w:t>
      </w:r>
      <w:r w:rsidRPr="002F1F60">
        <w:rPr>
          <w:rFonts w:cs="Times New Roman"/>
          <w:spacing w:val="-1"/>
          <w:w w:val="105"/>
          <w:sz w:val="24"/>
          <w:szCs w:val="24"/>
        </w:rPr>
        <w:t>protection</w:t>
      </w:r>
      <w:r w:rsidRPr="002F1F60">
        <w:rPr>
          <w:rFonts w:cs="Times New Roman"/>
          <w:spacing w:val="12"/>
          <w:w w:val="105"/>
          <w:sz w:val="24"/>
          <w:szCs w:val="24"/>
        </w:rPr>
        <w:t xml:space="preserve"> </w:t>
      </w:r>
      <w:r w:rsidRPr="002F1F60">
        <w:rPr>
          <w:rFonts w:cs="Times New Roman"/>
          <w:w w:val="105"/>
          <w:sz w:val="24"/>
          <w:szCs w:val="24"/>
        </w:rPr>
        <w:t>granted</w:t>
      </w:r>
      <w:r w:rsidRPr="002F1F60">
        <w:rPr>
          <w:rFonts w:cs="Times New Roman"/>
          <w:spacing w:val="9"/>
          <w:w w:val="105"/>
          <w:sz w:val="24"/>
          <w:szCs w:val="24"/>
        </w:rPr>
        <w:t xml:space="preserve"> </w:t>
      </w:r>
      <w:r w:rsidRPr="002F1F60">
        <w:rPr>
          <w:rFonts w:cs="Times New Roman"/>
          <w:w w:val="105"/>
          <w:sz w:val="24"/>
          <w:szCs w:val="24"/>
        </w:rPr>
        <w:t>by</w:t>
      </w:r>
      <w:r w:rsidRPr="002F1F60">
        <w:rPr>
          <w:rFonts w:cs="Times New Roman"/>
          <w:spacing w:val="9"/>
          <w:w w:val="105"/>
          <w:sz w:val="24"/>
          <w:szCs w:val="24"/>
        </w:rPr>
        <w:t xml:space="preserve"> </w:t>
      </w:r>
      <w:r w:rsidRPr="002F1F60">
        <w:rPr>
          <w:rFonts w:cs="Times New Roman"/>
          <w:w w:val="105"/>
          <w:sz w:val="24"/>
          <w:szCs w:val="24"/>
        </w:rPr>
        <w:t>Member</w:t>
      </w:r>
      <w:r w:rsidRPr="002F1F60">
        <w:rPr>
          <w:rFonts w:cs="Times New Roman"/>
          <w:spacing w:val="28"/>
          <w:w w:val="101"/>
          <w:sz w:val="24"/>
          <w:szCs w:val="24"/>
        </w:rPr>
        <w:t xml:space="preserve"> </w:t>
      </w:r>
      <w:r w:rsidRPr="002F1F60">
        <w:rPr>
          <w:rFonts w:cs="Times New Roman"/>
          <w:spacing w:val="-2"/>
          <w:w w:val="105"/>
          <w:sz w:val="24"/>
          <w:szCs w:val="24"/>
        </w:rPr>
        <w:t>States</w:t>
      </w:r>
      <w:r w:rsidRPr="002F1F60">
        <w:rPr>
          <w:rFonts w:cs="Times New Roman"/>
          <w:spacing w:val="51"/>
          <w:w w:val="105"/>
          <w:sz w:val="24"/>
          <w:szCs w:val="24"/>
        </w:rPr>
        <w:t xml:space="preserve"> </w:t>
      </w:r>
      <w:r w:rsidRPr="002F1F60">
        <w:rPr>
          <w:rFonts w:cs="Times New Roman"/>
          <w:w w:val="105"/>
          <w:sz w:val="24"/>
          <w:szCs w:val="24"/>
        </w:rPr>
        <w:t>shall</w:t>
      </w:r>
      <w:r w:rsidRPr="002F1F60">
        <w:rPr>
          <w:rFonts w:cs="Times New Roman"/>
          <w:spacing w:val="51"/>
          <w:w w:val="105"/>
          <w:sz w:val="24"/>
          <w:szCs w:val="24"/>
        </w:rPr>
        <w:t xml:space="preserve"> </w:t>
      </w:r>
      <w:r w:rsidRPr="002F1F60">
        <w:rPr>
          <w:rFonts w:cs="Times New Roman"/>
          <w:w w:val="105"/>
          <w:sz w:val="24"/>
          <w:szCs w:val="24"/>
        </w:rPr>
        <w:t>expire no</w:t>
      </w:r>
      <w:r w:rsidRPr="002F1F60">
        <w:rPr>
          <w:rFonts w:cs="Times New Roman"/>
          <w:spacing w:val="50"/>
          <w:w w:val="105"/>
          <w:sz w:val="24"/>
          <w:szCs w:val="24"/>
        </w:rPr>
        <w:t xml:space="preserve"> </w:t>
      </w:r>
      <w:r w:rsidRPr="002F1F60">
        <w:rPr>
          <w:rFonts w:cs="Times New Roman"/>
          <w:spacing w:val="-2"/>
          <w:w w:val="105"/>
          <w:sz w:val="24"/>
          <w:szCs w:val="24"/>
        </w:rPr>
        <w:t>late</w:t>
      </w:r>
      <w:r w:rsidRPr="002F1F60">
        <w:rPr>
          <w:rFonts w:cs="Times New Roman"/>
          <w:spacing w:val="-1"/>
          <w:w w:val="105"/>
          <w:sz w:val="24"/>
          <w:szCs w:val="24"/>
        </w:rPr>
        <w:t>r</w:t>
      </w:r>
      <w:r w:rsidRPr="002F1F60">
        <w:rPr>
          <w:rFonts w:cs="Times New Roman"/>
          <w:spacing w:val="5"/>
          <w:w w:val="105"/>
          <w:sz w:val="24"/>
          <w:szCs w:val="24"/>
        </w:rPr>
        <w:t xml:space="preserve"> </w:t>
      </w:r>
      <w:r w:rsidRPr="002F1F60">
        <w:rPr>
          <w:rFonts w:cs="Times New Roman"/>
          <w:w w:val="105"/>
          <w:sz w:val="24"/>
          <w:szCs w:val="24"/>
        </w:rPr>
        <w:t>than</w:t>
      </w:r>
      <w:r w:rsidRPr="002F1F60">
        <w:rPr>
          <w:rFonts w:cs="Times New Roman"/>
          <w:spacing w:val="50"/>
          <w:w w:val="105"/>
          <w:sz w:val="24"/>
          <w:szCs w:val="24"/>
        </w:rPr>
        <w:t xml:space="preserve"> </w:t>
      </w:r>
      <w:r w:rsidRPr="002F1F60">
        <w:rPr>
          <w:rFonts w:cs="Times New Roman"/>
          <w:w w:val="105"/>
          <w:sz w:val="24"/>
          <w:szCs w:val="24"/>
        </w:rPr>
        <w:t>the</w:t>
      </w:r>
      <w:r w:rsidRPr="002F1F60">
        <w:rPr>
          <w:rFonts w:cs="Times New Roman"/>
          <w:spacing w:val="51"/>
          <w:w w:val="105"/>
          <w:sz w:val="24"/>
          <w:szCs w:val="24"/>
        </w:rPr>
        <w:t xml:space="preserve"> </w:t>
      </w:r>
      <w:r w:rsidRPr="002F1F60">
        <w:rPr>
          <w:rFonts w:cs="Times New Roman"/>
          <w:w w:val="105"/>
          <w:sz w:val="24"/>
          <w:szCs w:val="24"/>
        </w:rPr>
        <w:t>date</w:t>
      </w:r>
      <w:r w:rsidRPr="002F1F60">
        <w:rPr>
          <w:rFonts w:cs="Times New Roman"/>
          <w:spacing w:val="49"/>
          <w:w w:val="105"/>
          <w:sz w:val="24"/>
          <w:szCs w:val="24"/>
        </w:rPr>
        <w:t xml:space="preserve"> </w:t>
      </w:r>
      <w:r w:rsidRPr="002F1F60">
        <w:rPr>
          <w:rFonts w:cs="Times New Roman"/>
          <w:w w:val="105"/>
          <w:sz w:val="24"/>
          <w:szCs w:val="24"/>
        </w:rPr>
        <w:t>of</w:t>
      </w:r>
      <w:r w:rsidRPr="002F1F60">
        <w:rPr>
          <w:rFonts w:cs="Times New Roman"/>
          <w:spacing w:val="49"/>
          <w:w w:val="105"/>
          <w:sz w:val="24"/>
          <w:szCs w:val="24"/>
        </w:rPr>
        <w:t xml:space="preserve"> </w:t>
      </w:r>
      <w:r w:rsidRPr="002F1F60">
        <w:rPr>
          <w:rFonts w:cs="Times New Roman"/>
          <w:w w:val="105"/>
          <w:sz w:val="24"/>
          <w:szCs w:val="24"/>
        </w:rPr>
        <w:t>expiry</w:t>
      </w:r>
      <w:r w:rsidRPr="002F1F60">
        <w:rPr>
          <w:rFonts w:cs="Times New Roman"/>
          <w:spacing w:val="46"/>
          <w:w w:val="105"/>
          <w:sz w:val="24"/>
          <w:szCs w:val="24"/>
        </w:rPr>
        <w:t xml:space="preserve"> </w:t>
      </w:r>
      <w:r w:rsidRPr="002F1F60">
        <w:rPr>
          <w:rFonts w:cs="Times New Roman"/>
          <w:w w:val="105"/>
          <w:sz w:val="24"/>
          <w:szCs w:val="24"/>
        </w:rPr>
        <w:t>of</w:t>
      </w:r>
      <w:r w:rsidRPr="002F1F60">
        <w:rPr>
          <w:rFonts w:cs="Times New Roman"/>
          <w:spacing w:val="3"/>
          <w:w w:val="105"/>
          <w:sz w:val="24"/>
          <w:szCs w:val="24"/>
        </w:rPr>
        <w:t xml:space="preserve"> </w:t>
      </w:r>
      <w:r w:rsidRPr="002F1F60">
        <w:rPr>
          <w:rFonts w:cs="Times New Roman"/>
          <w:w w:val="105"/>
          <w:sz w:val="24"/>
          <w:szCs w:val="24"/>
        </w:rPr>
        <w:t>the</w:t>
      </w:r>
      <w:r w:rsidRPr="002F1F60">
        <w:rPr>
          <w:rFonts w:cs="Times New Roman"/>
          <w:spacing w:val="28"/>
          <w:w w:val="106"/>
          <w:sz w:val="24"/>
          <w:szCs w:val="24"/>
        </w:rPr>
        <w:t xml:space="preserve"> </w:t>
      </w:r>
      <w:r w:rsidRPr="002F1F60">
        <w:rPr>
          <w:rFonts w:cs="Times New Roman"/>
          <w:spacing w:val="-1"/>
          <w:w w:val="105"/>
          <w:sz w:val="24"/>
          <w:szCs w:val="24"/>
        </w:rPr>
        <w:t>protection</w:t>
      </w:r>
      <w:r w:rsidRPr="002F1F60">
        <w:rPr>
          <w:rFonts w:cs="Times New Roman"/>
          <w:spacing w:val="12"/>
          <w:w w:val="105"/>
          <w:sz w:val="24"/>
          <w:szCs w:val="24"/>
        </w:rPr>
        <w:t xml:space="preserve"> </w:t>
      </w:r>
      <w:r w:rsidRPr="002F1F60">
        <w:rPr>
          <w:rFonts w:cs="Times New Roman"/>
          <w:w w:val="105"/>
          <w:sz w:val="24"/>
          <w:szCs w:val="24"/>
        </w:rPr>
        <w:t>granted</w:t>
      </w:r>
      <w:r w:rsidRPr="002F1F60">
        <w:rPr>
          <w:rFonts w:cs="Times New Roman"/>
          <w:spacing w:val="10"/>
          <w:w w:val="105"/>
          <w:sz w:val="24"/>
          <w:szCs w:val="24"/>
        </w:rPr>
        <w:t xml:space="preserve"> </w:t>
      </w:r>
      <w:r w:rsidRPr="002F1F60">
        <w:rPr>
          <w:rFonts w:cs="Times New Roman"/>
          <w:w w:val="105"/>
          <w:sz w:val="24"/>
          <w:szCs w:val="24"/>
        </w:rPr>
        <w:t>in</w:t>
      </w:r>
      <w:r w:rsidRPr="002F1F60">
        <w:rPr>
          <w:rFonts w:cs="Times New Roman"/>
          <w:spacing w:val="11"/>
          <w:w w:val="105"/>
          <w:sz w:val="24"/>
          <w:szCs w:val="24"/>
        </w:rPr>
        <w:t xml:space="preserve"> </w:t>
      </w:r>
      <w:r w:rsidRPr="002F1F60">
        <w:rPr>
          <w:rFonts w:cs="Times New Roman"/>
          <w:w w:val="105"/>
          <w:sz w:val="24"/>
          <w:szCs w:val="24"/>
        </w:rPr>
        <w:t>the</w:t>
      </w:r>
      <w:r w:rsidRPr="002F1F60">
        <w:rPr>
          <w:rFonts w:cs="Times New Roman"/>
          <w:spacing w:val="13"/>
          <w:w w:val="105"/>
          <w:sz w:val="24"/>
          <w:szCs w:val="24"/>
        </w:rPr>
        <w:t xml:space="preserve"> </w:t>
      </w:r>
      <w:r w:rsidRPr="002F1F60">
        <w:rPr>
          <w:rFonts w:cs="Times New Roman"/>
          <w:w w:val="105"/>
          <w:sz w:val="24"/>
          <w:szCs w:val="24"/>
        </w:rPr>
        <w:t>country</w:t>
      </w:r>
      <w:r w:rsidRPr="002F1F60">
        <w:rPr>
          <w:rFonts w:cs="Times New Roman"/>
          <w:spacing w:val="9"/>
          <w:w w:val="105"/>
          <w:sz w:val="24"/>
          <w:szCs w:val="24"/>
        </w:rPr>
        <w:t xml:space="preserve"> </w:t>
      </w:r>
      <w:r w:rsidRPr="002F1F60">
        <w:rPr>
          <w:rFonts w:cs="Times New Roman"/>
          <w:w w:val="105"/>
          <w:sz w:val="24"/>
          <w:szCs w:val="24"/>
        </w:rPr>
        <w:t>of</w:t>
      </w:r>
      <w:r w:rsidRPr="002F1F60">
        <w:rPr>
          <w:rFonts w:cs="Times New Roman"/>
          <w:spacing w:val="11"/>
          <w:w w:val="105"/>
          <w:sz w:val="24"/>
          <w:szCs w:val="24"/>
        </w:rPr>
        <w:t xml:space="preserve"> </w:t>
      </w:r>
      <w:r w:rsidRPr="002F1F60">
        <w:rPr>
          <w:rFonts w:cs="Times New Roman"/>
          <w:w w:val="105"/>
          <w:sz w:val="24"/>
          <w:szCs w:val="24"/>
        </w:rPr>
        <w:t>which</w:t>
      </w:r>
      <w:r w:rsidRPr="002F1F60">
        <w:rPr>
          <w:rFonts w:cs="Times New Roman"/>
          <w:spacing w:val="11"/>
          <w:w w:val="105"/>
          <w:sz w:val="24"/>
          <w:szCs w:val="24"/>
        </w:rPr>
        <w:t xml:space="preserve"> </w:t>
      </w:r>
      <w:r w:rsidRPr="002F1F60">
        <w:rPr>
          <w:rFonts w:cs="Times New Roman"/>
          <w:w w:val="105"/>
          <w:sz w:val="24"/>
          <w:szCs w:val="24"/>
        </w:rPr>
        <w:t>the</w:t>
      </w:r>
      <w:r w:rsidRPr="002F1F60">
        <w:rPr>
          <w:rFonts w:cs="Times New Roman"/>
          <w:spacing w:val="13"/>
          <w:w w:val="105"/>
          <w:sz w:val="24"/>
          <w:szCs w:val="24"/>
        </w:rPr>
        <w:t xml:space="preserve"> </w:t>
      </w:r>
      <w:r w:rsidRPr="002F1F60">
        <w:rPr>
          <w:rFonts w:cs="Times New Roman"/>
          <w:w w:val="105"/>
          <w:sz w:val="24"/>
          <w:szCs w:val="24"/>
        </w:rPr>
        <w:t>rightholder</w:t>
      </w:r>
      <w:r w:rsidRPr="002F1F60">
        <w:rPr>
          <w:rFonts w:cs="Times New Roman"/>
          <w:spacing w:val="16"/>
          <w:w w:val="105"/>
          <w:sz w:val="24"/>
          <w:szCs w:val="24"/>
        </w:rPr>
        <w:t xml:space="preserve"> </w:t>
      </w:r>
      <w:r w:rsidRPr="002F1F60">
        <w:rPr>
          <w:rFonts w:cs="Times New Roman"/>
          <w:w w:val="105"/>
          <w:sz w:val="24"/>
          <w:szCs w:val="24"/>
        </w:rPr>
        <w:t>is</w:t>
      </w:r>
      <w:r w:rsidRPr="002F1F60">
        <w:rPr>
          <w:rFonts w:cs="Times New Roman"/>
          <w:spacing w:val="11"/>
          <w:w w:val="105"/>
          <w:sz w:val="24"/>
          <w:szCs w:val="24"/>
        </w:rPr>
        <w:t xml:space="preserve"> </w:t>
      </w:r>
      <w:r w:rsidRPr="002F1F60">
        <w:rPr>
          <w:rFonts w:cs="Times New Roman"/>
          <w:w w:val="105"/>
          <w:sz w:val="24"/>
          <w:szCs w:val="24"/>
        </w:rPr>
        <w:t>a</w:t>
      </w:r>
      <w:r w:rsidRPr="002F1F60">
        <w:rPr>
          <w:rFonts w:cs="Times New Roman"/>
          <w:spacing w:val="26"/>
          <w:sz w:val="24"/>
          <w:szCs w:val="24"/>
        </w:rPr>
        <w:t xml:space="preserve"> </w:t>
      </w:r>
      <w:r w:rsidRPr="002F1F60">
        <w:rPr>
          <w:rFonts w:cs="Times New Roman"/>
          <w:w w:val="105"/>
          <w:sz w:val="24"/>
          <w:szCs w:val="24"/>
        </w:rPr>
        <w:t>national</w:t>
      </w:r>
      <w:r w:rsidRPr="002F1F60">
        <w:rPr>
          <w:rFonts w:cs="Times New Roman"/>
          <w:spacing w:val="6"/>
          <w:w w:val="105"/>
          <w:sz w:val="24"/>
          <w:szCs w:val="24"/>
        </w:rPr>
        <w:t xml:space="preserve"> </w:t>
      </w:r>
      <w:r w:rsidRPr="002F1F60">
        <w:rPr>
          <w:rFonts w:cs="Times New Roman"/>
          <w:w w:val="105"/>
          <w:sz w:val="24"/>
          <w:szCs w:val="24"/>
        </w:rPr>
        <w:t>and</w:t>
      </w:r>
      <w:r w:rsidRPr="002F1F60">
        <w:rPr>
          <w:rFonts w:cs="Times New Roman"/>
          <w:spacing w:val="7"/>
          <w:w w:val="105"/>
          <w:sz w:val="24"/>
          <w:szCs w:val="24"/>
        </w:rPr>
        <w:t xml:space="preserve"> </w:t>
      </w:r>
      <w:r w:rsidRPr="002F1F60">
        <w:rPr>
          <w:rFonts w:cs="Times New Roman"/>
          <w:spacing w:val="-2"/>
          <w:w w:val="105"/>
          <w:sz w:val="24"/>
          <w:szCs w:val="24"/>
        </w:rPr>
        <w:t>ma</w:t>
      </w:r>
      <w:r w:rsidRPr="002F1F60">
        <w:rPr>
          <w:rFonts w:cs="Times New Roman"/>
          <w:spacing w:val="-3"/>
          <w:w w:val="105"/>
          <w:sz w:val="24"/>
          <w:szCs w:val="24"/>
        </w:rPr>
        <w:t>y</w:t>
      </w:r>
      <w:r w:rsidRPr="002F1F60">
        <w:rPr>
          <w:rFonts w:cs="Times New Roman"/>
          <w:spacing w:val="6"/>
          <w:w w:val="105"/>
          <w:sz w:val="24"/>
          <w:szCs w:val="24"/>
        </w:rPr>
        <w:t xml:space="preserve"> </w:t>
      </w:r>
      <w:r w:rsidRPr="002F1F60">
        <w:rPr>
          <w:rFonts w:cs="Times New Roman"/>
          <w:w w:val="105"/>
          <w:sz w:val="24"/>
          <w:szCs w:val="24"/>
        </w:rPr>
        <w:t>not</w:t>
      </w:r>
      <w:r w:rsidRPr="002F1F60">
        <w:rPr>
          <w:rFonts w:cs="Times New Roman"/>
          <w:spacing w:val="4"/>
          <w:w w:val="105"/>
          <w:sz w:val="24"/>
          <w:szCs w:val="24"/>
        </w:rPr>
        <w:t xml:space="preserve"> </w:t>
      </w:r>
      <w:r w:rsidRPr="002F1F60">
        <w:rPr>
          <w:rFonts w:cs="Times New Roman"/>
          <w:w w:val="105"/>
          <w:sz w:val="24"/>
          <w:szCs w:val="24"/>
        </w:rPr>
        <w:t>exceed</w:t>
      </w:r>
      <w:r w:rsidRPr="002F1F60">
        <w:rPr>
          <w:rFonts w:cs="Times New Roman"/>
          <w:spacing w:val="5"/>
          <w:w w:val="105"/>
          <w:sz w:val="24"/>
          <w:szCs w:val="24"/>
        </w:rPr>
        <w:t xml:space="preserve"> </w:t>
      </w:r>
      <w:r w:rsidRPr="002F1F60">
        <w:rPr>
          <w:rFonts w:cs="Times New Roman"/>
          <w:w w:val="105"/>
          <w:sz w:val="24"/>
          <w:szCs w:val="24"/>
        </w:rPr>
        <w:t>the</w:t>
      </w:r>
      <w:r w:rsidRPr="002F1F60">
        <w:rPr>
          <w:rFonts w:cs="Times New Roman"/>
          <w:spacing w:val="6"/>
          <w:w w:val="105"/>
          <w:sz w:val="24"/>
          <w:szCs w:val="24"/>
        </w:rPr>
        <w:t xml:space="preserve"> </w:t>
      </w:r>
      <w:r w:rsidRPr="002F1F60">
        <w:rPr>
          <w:rFonts w:cs="Times New Roman"/>
          <w:w w:val="105"/>
          <w:sz w:val="24"/>
          <w:szCs w:val="24"/>
        </w:rPr>
        <w:t>term</w:t>
      </w:r>
      <w:r w:rsidRPr="002F1F60">
        <w:rPr>
          <w:rFonts w:cs="Times New Roman"/>
          <w:spacing w:val="8"/>
          <w:w w:val="105"/>
          <w:sz w:val="24"/>
          <w:szCs w:val="24"/>
        </w:rPr>
        <w:t xml:space="preserve"> </w:t>
      </w:r>
      <w:r w:rsidRPr="002F1F60">
        <w:rPr>
          <w:rFonts w:cs="Times New Roman"/>
          <w:w w:val="105"/>
          <w:sz w:val="24"/>
          <w:szCs w:val="24"/>
        </w:rPr>
        <w:t>laid</w:t>
      </w:r>
      <w:r w:rsidRPr="002F1F60">
        <w:rPr>
          <w:rFonts w:cs="Times New Roman"/>
          <w:spacing w:val="5"/>
          <w:w w:val="105"/>
          <w:sz w:val="24"/>
          <w:szCs w:val="24"/>
        </w:rPr>
        <w:t xml:space="preserve"> </w:t>
      </w:r>
      <w:r w:rsidRPr="002F1F60">
        <w:rPr>
          <w:rFonts w:cs="Times New Roman"/>
          <w:spacing w:val="-1"/>
          <w:w w:val="105"/>
          <w:sz w:val="24"/>
          <w:szCs w:val="24"/>
        </w:rPr>
        <w:t>down</w:t>
      </w:r>
      <w:r w:rsidRPr="002F1F60">
        <w:rPr>
          <w:rFonts w:cs="Times New Roman"/>
          <w:spacing w:val="7"/>
          <w:w w:val="105"/>
          <w:sz w:val="24"/>
          <w:szCs w:val="24"/>
        </w:rPr>
        <w:t xml:space="preserve"> </w:t>
      </w:r>
      <w:r w:rsidRPr="002F1F60">
        <w:rPr>
          <w:rFonts w:cs="Times New Roman"/>
          <w:w w:val="105"/>
          <w:sz w:val="24"/>
          <w:szCs w:val="24"/>
        </w:rPr>
        <w:t>in</w:t>
      </w:r>
      <w:r w:rsidRPr="002F1F60">
        <w:rPr>
          <w:rFonts w:cs="Times New Roman"/>
          <w:spacing w:val="6"/>
          <w:w w:val="105"/>
          <w:sz w:val="24"/>
          <w:szCs w:val="24"/>
        </w:rPr>
        <w:t xml:space="preserve"> </w:t>
      </w:r>
      <w:r w:rsidRPr="002F1F60">
        <w:rPr>
          <w:rFonts w:cs="Times New Roman"/>
          <w:w w:val="105"/>
          <w:sz w:val="24"/>
          <w:szCs w:val="24"/>
        </w:rPr>
        <w:t>Article</w:t>
      </w:r>
      <w:r w:rsidRPr="002F1F60">
        <w:rPr>
          <w:rFonts w:cs="Times New Roman"/>
          <w:spacing w:val="8"/>
          <w:w w:val="105"/>
          <w:sz w:val="24"/>
          <w:szCs w:val="24"/>
        </w:rPr>
        <w:t xml:space="preserve"> </w:t>
      </w:r>
      <w:r w:rsidRPr="002F1F60">
        <w:rPr>
          <w:rFonts w:cs="Times New Roman"/>
          <w:w w:val="105"/>
          <w:sz w:val="24"/>
          <w:szCs w:val="24"/>
        </w:rPr>
        <w:t xml:space="preserve">3.” This is in full harmony with Article 4(2) of the WPPT and it follows from it, in the same way as from the provision of the Treaty, that there is no obligation under Article 8(2) of Directive </w:t>
      </w:r>
      <w:r w:rsidR="00487DA4" w:rsidRPr="002F1F60">
        <w:rPr>
          <w:rFonts w:cs="Times New Roman"/>
          <w:bCs/>
          <w:sz w:val="24"/>
          <w:szCs w:val="24"/>
        </w:rPr>
        <w:t>2006/115/EC</w:t>
      </w:r>
      <w:r w:rsidR="00487DA4" w:rsidRPr="002F1F60">
        <w:rPr>
          <w:rFonts w:cs="Times New Roman"/>
          <w:w w:val="105"/>
          <w:sz w:val="24"/>
          <w:szCs w:val="24"/>
        </w:rPr>
        <w:t xml:space="preserve"> </w:t>
      </w:r>
      <w:r w:rsidRPr="002F1F60">
        <w:rPr>
          <w:rFonts w:cs="Times New Roman"/>
          <w:w w:val="105"/>
          <w:sz w:val="24"/>
          <w:szCs w:val="24"/>
        </w:rPr>
        <w:t xml:space="preserve">to grant the right to the nationals of other Contracting Parties to the extent that they have made reservations and do not provide the right – in other words, to the extent that reservations apply, the term of protection is zero. </w:t>
      </w:r>
    </w:p>
    <w:p w:rsidR="00494D93" w:rsidRDefault="00494D93" w:rsidP="00494D93">
      <w:pPr>
        <w:pStyle w:val="Szvegtrzs"/>
        <w:tabs>
          <w:tab w:val="left" w:pos="448"/>
          <w:tab w:val="left" w:pos="567"/>
        </w:tabs>
        <w:ind w:left="567"/>
        <w:jc w:val="both"/>
        <w:rPr>
          <w:w w:val="105"/>
          <w:sz w:val="24"/>
          <w:szCs w:val="24"/>
        </w:rPr>
      </w:pPr>
    </w:p>
    <w:p w:rsidR="00494D93" w:rsidRDefault="00494D93" w:rsidP="00494D93">
      <w:pPr>
        <w:pStyle w:val="Szvegtrzs"/>
        <w:ind w:left="0"/>
        <w:jc w:val="both"/>
        <w:rPr>
          <w:w w:val="105"/>
          <w:sz w:val="24"/>
          <w:szCs w:val="24"/>
        </w:rPr>
      </w:pPr>
      <w:r>
        <w:rPr>
          <w:w w:val="105"/>
          <w:sz w:val="24"/>
          <w:szCs w:val="24"/>
        </w:rPr>
        <w:t xml:space="preserve"> If point 2 of the </w:t>
      </w:r>
      <w:r>
        <w:rPr>
          <w:i/>
          <w:w w:val="105"/>
          <w:sz w:val="24"/>
          <w:szCs w:val="24"/>
        </w:rPr>
        <w:t>RAAP</w:t>
      </w:r>
      <w:r>
        <w:rPr>
          <w:w w:val="105"/>
          <w:sz w:val="24"/>
          <w:szCs w:val="24"/>
        </w:rPr>
        <w:t xml:space="preserve"> rulings were applied as stated by the CJEU, an unexpected financial burden would emerge for the Member States about which they had been persuaded – and rightly enough – that it did not exist and did not follow from their international obligations. If the logic of the CJEU were recognized as justified, the same burden would emerge in the application of other rights provided in EU law in respect of which it is not stated – because it has been considered, also rightly enough, that it is obvious – that they only apply to foreign nationals in accordance with the international treaties within the limits of the obligations under the treaties. For example, the rights provided in the Information Society Directive (Directive 2001/24/EC) implementing the WCT and the WPPT would become applicable to all foreigners irrespective of whether or not there is an obligation to apply national treatment or there would be any treaty relationship at all with the countries of which they are nationals. </w:t>
      </w:r>
    </w:p>
    <w:p w:rsidR="00494D93" w:rsidRDefault="00494D93" w:rsidP="00494D93">
      <w:pPr>
        <w:pStyle w:val="Szvegtrzs"/>
        <w:ind w:left="0"/>
        <w:jc w:val="both"/>
        <w:rPr>
          <w:w w:val="105"/>
          <w:sz w:val="24"/>
          <w:szCs w:val="24"/>
        </w:rPr>
      </w:pPr>
    </w:p>
    <w:p w:rsidR="00494D93" w:rsidRDefault="00494D93" w:rsidP="00494D93">
      <w:pPr>
        <w:pStyle w:val="Szvegtrzs"/>
        <w:ind w:left="0"/>
        <w:jc w:val="both"/>
        <w:rPr>
          <w:w w:val="105"/>
          <w:sz w:val="24"/>
          <w:szCs w:val="24"/>
        </w:rPr>
      </w:pPr>
      <w:r>
        <w:rPr>
          <w:w w:val="105"/>
          <w:sz w:val="24"/>
          <w:szCs w:val="24"/>
        </w:rPr>
        <w:t xml:space="preserve">    The CJEU has not dealt with the question of the applicable time of the newly recognized obligation introduced in </w:t>
      </w:r>
      <w:r>
        <w:rPr>
          <w:i/>
          <w:w w:val="105"/>
          <w:sz w:val="24"/>
          <w:szCs w:val="24"/>
        </w:rPr>
        <w:t>RAAP</w:t>
      </w:r>
      <w:r>
        <w:rPr>
          <w:w w:val="105"/>
          <w:sz w:val="24"/>
          <w:szCs w:val="24"/>
        </w:rPr>
        <w:t>; therefore, in principle, it might be understood that point 2 of the rulings applies also retroactively, since normally the judgments of the Court clarifying an existing legal situation apply in that way (</w:t>
      </w:r>
      <w:r>
        <w:rPr>
          <w:i/>
          <w:w w:val="105"/>
          <w:sz w:val="24"/>
          <w:szCs w:val="24"/>
        </w:rPr>
        <w:t>ex tunc</w:t>
      </w:r>
      <w:r>
        <w:rPr>
          <w:w w:val="105"/>
          <w:sz w:val="24"/>
          <w:szCs w:val="24"/>
        </w:rPr>
        <w:t>). This would create grave financial problems for the Member States in view of the foreseeable massive number of lawsuits to claim remuneration for all acts covered by Article 8(2) of the Rental, Lending and Related Rights Directives performed since its entry into force</w:t>
      </w:r>
      <w:r w:rsidR="00487DA4">
        <w:rPr>
          <w:w w:val="105"/>
          <w:sz w:val="24"/>
          <w:szCs w:val="24"/>
        </w:rPr>
        <w:t>, in its original version,</w:t>
      </w:r>
      <w:r>
        <w:rPr>
          <w:w w:val="105"/>
          <w:sz w:val="24"/>
          <w:szCs w:val="24"/>
        </w:rPr>
        <w:t xml:space="preserve"> at the beginning of 1993, provided that the prescription time has not elapsed yet. However, it seems that the problem – the possible retroactive application of the newly introduced obligation – may be settled also on the basis of the established case law of the CJEU. It was as early as in the </w:t>
      </w:r>
      <w:r>
        <w:rPr>
          <w:i/>
          <w:w w:val="105"/>
          <w:sz w:val="24"/>
          <w:szCs w:val="24"/>
        </w:rPr>
        <w:t>Sabena</w:t>
      </w:r>
      <w:r>
        <w:rPr>
          <w:w w:val="105"/>
          <w:sz w:val="24"/>
          <w:szCs w:val="24"/>
        </w:rPr>
        <w:t xml:space="preserve"> case</w:t>
      </w:r>
      <w:r>
        <w:rPr>
          <w:rStyle w:val="Lbjegyzet-hivatkozs"/>
          <w:w w:val="105"/>
          <w:sz w:val="24"/>
          <w:szCs w:val="24"/>
        </w:rPr>
        <w:footnoteReference w:id="33"/>
      </w:r>
      <w:r>
        <w:rPr>
          <w:w w:val="105"/>
          <w:sz w:val="24"/>
          <w:szCs w:val="24"/>
        </w:rPr>
        <w:t xml:space="preserve"> in 1976 that the European Court of Justice clarified that </w:t>
      </w:r>
      <w:r>
        <w:rPr>
          <w:i/>
          <w:w w:val="105"/>
          <w:sz w:val="24"/>
          <w:szCs w:val="24"/>
        </w:rPr>
        <w:t>ex nunc</w:t>
      </w:r>
      <w:r>
        <w:rPr>
          <w:w w:val="105"/>
          <w:sz w:val="24"/>
          <w:szCs w:val="24"/>
        </w:rPr>
        <w:t xml:space="preserve"> application (only from time of the adoption of a judgment) may still be justified if two conditions are fulfilled: first, the judgment is adopted in an unexpected way in the sense that there was previously no indication that the issue would emerge at all and that it would be settled in identifying a previously not recognized and not applied obligation and, second, the retroactive (</w:t>
      </w:r>
      <w:r>
        <w:rPr>
          <w:i/>
          <w:w w:val="105"/>
          <w:sz w:val="24"/>
          <w:szCs w:val="24"/>
        </w:rPr>
        <w:t>ex tunc</w:t>
      </w:r>
      <w:r>
        <w:rPr>
          <w:w w:val="105"/>
          <w:sz w:val="24"/>
          <w:szCs w:val="24"/>
        </w:rPr>
        <w:t>) application of the newly applicable obligation, due to the number of claims with which the Member States did not have reason to calculate, would mean potentially a sudden,  big and disproportional financial burden.</w:t>
      </w:r>
      <w:r>
        <w:rPr>
          <w:rStyle w:val="Lbjegyzet-hivatkozs"/>
          <w:w w:val="105"/>
          <w:sz w:val="24"/>
          <w:szCs w:val="24"/>
        </w:rPr>
        <w:footnoteReference w:id="34"/>
      </w:r>
      <w:r>
        <w:rPr>
          <w:w w:val="105"/>
          <w:sz w:val="24"/>
          <w:szCs w:val="24"/>
        </w:rPr>
        <w:t xml:space="preserve"> It seems that as regards the potential impact of point 2 of the RAAP rulings, both of these conditions are undoubtedly fulfilled. </w:t>
      </w:r>
    </w:p>
    <w:p w:rsidR="00494D93" w:rsidRDefault="00494D93" w:rsidP="00494D93">
      <w:pPr>
        <w:pStyle w:val="Szvegtrzs"/>
        <w:ind w:left="0"/>
        <w:jc w:val="both"/>
        <w:rPr>
          <w:w w:val="105"/>
          <w:sz w:val="24"/>
          <w:szCs w:val="24"/>
        </w:rPr>
      </w:pPr>
    </w:p>
    <w:p w:rsidR="00494D93" w:rsidRDefault="00494D93" w:rsidP="002F1F60">
      <w:pPr>
        <w:pStyle w:val="Szvegtrzs"/>
        <w:ind w:left="0"/>
        <w:jc w:val="both"/>
        <w:rPr>
          <w:w w:val="105"/>
          <w:sz w:val="24"/>
          <w:szCs w:val="24"/>
        </w:rPr>
      </w:pPr>
      <w:r>
        <w:rPr>
          <w:w w:val="105"/>
          <w:sz w:val="24"/>
          <w:szCs w:val="24"/>
        </w:rPr>
        <w:t xml:space="preserve">   </w:t>
      </w:r>
    </w:p>
    <w:p w:rsidR="00A95B91" w:rsidRDefault="00A95B91" w:rsidP="002F1F60">
      <w:pPr>
        <w:pStyle w:val="Szvegtrzs"/>
        <w:ind w:left="0"/>
        <w:jc w:val="both"/>
        <w:rPr>
          <w:w w:val="105"/>
          <w:sz w:val="24"/>
          <w:szCs w:val="24"/>
        </w:rPr>
      </w:pPr>
    </w:p>
    <w:p w:rsidR="00A95B91" w:rsidRDefault="00A95B91" w:rsidP="002F1F60">
      <w:pPr>
        <w:pStyle w:val="Szvegtrzs"/>
        <w:ind w:left="0"/>
        <w:jc w:val="both"/>
        <w:rPr>
          <w:w w:val="105"/>
          <w:sz w:val="24"/>
          <w:szCs w:val="24"/>
        </w:rPr>
      </w:pPr>
    </w:p>
    <w:p w:rsidR="00A95B91" w:rsidRDefault="00A95B91" w:rsidP="002F1F60">
      <w:pPr>
        <w:pStyle w:val="Szvegtrzs"/>
        <w:ind w:left="0"/>
        <w:jc w:val="both"/>
        <w:rPr>
          <w:w w:val="105"/>
          <w:sz w:val="24"/>
          <w:szCs w:val="24"/>
        </w:rPr>
      </w:pPr>
    </w:p>
    <w:p w:rsidR="00A95B91" w:rsidRDefault="00A95B91" w:rsidP="002F1F60">
      <w:pPr>
        <w:pStyle w:val="Szvegtrzs"/>
        <w:ind w:left="0"/>
        <w:jc w:val="both"/>
        <w:rPr>
          <w:w w:val="105"/>
          <w:sz w:val="24"/>
          <w:szCs w:val="24"/>
        </w:rPr>
      </w:pPr>
    </w:p>
    <w:p w:rsidR="00A95B91" w:rsidRDefault="00A95B91" w:rsidP="002F1F60">
      <w:pPr>
        <w:pStyle w:val="Szvegtrzs"/>
        <w:ind w:left="0"/>
        <w:jc w:val="both"/>
        <w:rPr>
          <w:rFonts w:cs="Times New Roman"/>
          <w:snapToGrid w:val="0"/>
          <w:sz w:val="24"/>
          <w:szCs w:val="24"/>
        </w:rPr>
      </w:pPr>
    </w:p>
    <w:p w:rsidR="009E53E6" w:rsidRDefault="00AD0E6B" w:rsidP="00A54FD8">
      <w:pPr>
        <w:pStyle w:val="Paraindent"/>
        <w:tabs>
          <w:tab w:val="left" w:pos="284"/>
        </w:tabs>
        <w:spacing w:line="240" w:lineRule="auto"/>
        <w:ind w:firstLine="0"/>
        <w:jc w:val="both"/>
        <w:rPr>
          <w:b/>
          <w:i/>
          <w:szCs w:val="24"/>
        </w:rPr>
      </w:pPr>
      <w:r>
        <w:rPr>
          <w:b/>
          <w:i/>
          <w:szCs w:val="24"/>
          <w:lang w:val="en-US"/>
        </w:rPr>
        <w:t xml:space="preserve">V. </w:t>
      </w:r>
      <w:r w:rsidR="00BA7DA9">
        <w:rPr>
          <w:b/>
          <w:i/>
          <w:szCs w:val="24"/>
          <w:lang w:val="en-US"/>
        </w:rPr>
        <w:t xml:space="preserve">It </w:t>
      </w:r>
      <w:r w:rsidR="00460469">
        <w:rPr>
          <w:b/>
          <w:i/>
          <w:szCs w:val="24"/>
          <w:lang w:val="en-US"/>
        </w:rPr>
        <w:t>would be</w:t>
      </w:r>
      <w:r w:rsidR="00BA7DA9">
        <w:rPr>
          <w:b/>
          <w:i/>
          <w:szCs w:val="24"/>
          <w:lang w:val="en-US"/>
        </w:rPr>
        <w:t xml:space="preserve"> desirable to make it clear in the EU law that n</w:t>
      </w:r>
      <w:r w:rsidR="00C51ECA" w:rsidRPr="00772ABA">
        <w:rPr>
          <w:b/>
          <w:i/>
          <w:szCs w:val="24"/>
        </w:rPr>
        <w:t xml:space="preserve">o remuneration is due </w:t>
      </w:r>
      <w:r w:rsidR="00D9719F" w:rsidRPr="00772ABA">
        <w:rPr>
          <w:b/>
          <w:i/>
          <w:szCs w:val="24"/>
        </w:rPr>
        <w:t xml:space="preserve">for </w:t>
      </w:r>
      <w:r w:rsidR="00C51ECA" w:rsidRPr="00772ABA">
        <w:rPr>
          <w:b/>
          <w:i/>
          <w:szCs w:val="24"/>
        </w:rPr>
        <w:t>the use</w:t>
      </w:r>
      <w:r w:rsidR="00D9719F" w:rsidRPr="00772ABA">
        <w:rPr>
          <w:b/>
          <w:i/>
          <w:szCs w:val="24"/>
        </w:rPr>
        <w:t>s</w:t>
      </w:r>
      <w:r w:rsidR="00C51ECA" w:rsidRPr="00772ABA">
        <w:rPr>
          <w:b/>
          <w:i/>
          <w:szCs w:val="24"/>
        </w:rPr>
        <w:t xml:space="preserve"> of performances and phonograms not protected in the EU; </w:t>
      </w:r>
      <w:r w:rsidR="00D9719F" w:rsidRPr="00772ABA">
        <w:rPr>
          <w:b/>
          <w:i/>
          <w:szCs w:val="24"/>
        </w:rPr>
        <w:t xml:space="preserve">nevertheless, where the lump-sum paid by the users is still calculated to also cover such uses, </w:t>
      </w:r>
      <w:r w:rsidR="00BA7DA9">
        <w:rPr>
          <w:b/>
          <w:i/>
          <w:szCs w:val="24"/>
        </w:rPr>
        <w:t xml:space="preserve">(i) </w:t>
      </w:r>
      <w:r w:rsidR="00D9719F" w:rsidRPr="00772ABA">
        <w:rPr>
          <w:b/>
          <w:i/>
          <w:szCs w:val="24"/>
        </w:rPr>
        <w:t xml:space="preserve">in the absence of EU legislative norms, the corresponding remuneration may be transferred to the foreigners on the basis of reciprocity; </w:t>
      </w:r>
      <w:r w:rsidR="00460469">
        <w:rPr>
          <w:b/>
          <w:i/>
          <w:szCs w:val="24"/>
        </w:rPr>
        <w:t xml:space="preserve">or </w:t>
      </w:r>
      <w:r w:rsidR="00D9719F" w:rsidRPr="00772ABA">
        <w:rPr>
          <w:b/>
          <w:i/>
          <w:szCs w:val="24"/>
        </w:rPr>
        <w:t xml:space="preserve">(ii) </w:t>
      </w:r>
      <w:r w:rsidR="00BA7DA9">
        <w:rPr>
          <w:b/>
          <w:i/>
          <w:szCs w:val="24"/>
        </w:rPr>
        <w:t xml:space="preserve">it </w:t>
      </w:r>
      <w:r w:rsidR="00D9719F" w:rsidRPr="00772ABA">
        <w:rPr>
          <w:b/>
          <w:i/>
          <w:szCs w:val="24"/>
        </w:rPr>
        <w:t xml:space="preserve">may be transferred to foreigners without reciprocity; </w:t>
      </w:r>
      <w:r w:rsidR="00460469">
        <w:rPr>
          <w:b/>
          <w:i/>
          <w:szCs w:val="24"/>
        </w:rPr>
        <w:t>or</w:t>
      </w:r>
      <w:r w:rsidR="00BA7DA9">
        <w:rPr>
          <w:b/>
          <w:i/>
          <w:szCs w:val="24"/>
        </w:rPr>
        <w:t xml:space="preserve"> </w:t>
      </w:r>
      <w:r w:rsidR="00D9719F" w:rsidRPr="00772ABA">
        <w:rPr>
          <w:b/>
          <w:i/>
          <w:szCs w:val="24"/>
        </w:rPr>
        <w:t xml:space="preserve">(iii) </w:t>
      </w:r>
      <w:r w:rsidR="00BA7DA9">
        <w:rPr>
          <w:b/>
          <w:i/>
          <w:szCs w:val="24"/>
        </w:rPr>
        <w:t>it (</w:t>
      </w:r>
      <w:r>
        <w:rPr>
          <w:b/>
          <w:i/>
          <w:szCs w:val="24"/>
        </w:rPr>
        <w:t xml:space="preserve">as </w:t>
      </w:r>
      <w:r w:rsidR="00BA7DA9">
        <w:rPr>
          <w:b/>
          <w:i/>
          <w:szCs w:val="24"/>
        </w:rPr>
        <w:t>not-for-distribution</w:t>
      </w:r>
      <w:r>
        <w:rPr>
          <w:b/>
          <w:i/>
          <w:szCs w:val="24"/>
        </w:rPr>
        <w:t>)</w:t>
      </w:r>
      <w:r w:rsidR="00BA7DA9">
        <w:rPr>
          <w:b/>
          <w:i/>
          <w:szCs w:val="24"/>
        </w:rPr>
        <w:t xml:space="preserve"> </w:t>
      </w:r>
      <w:r w:rsidR="00D9719F" w:rsidRPr="00772ABA">
        <w:rPr>
          <w:b/>
          <w:i/>
          <w:szCs w:val="24"/>
        </w:rPr>
        <w:t xml:space="preserve">may be used </w:t>
      </w:r>
      <w:r w:rsidR="00772ABA" w:rsidRPr="00772ABA">
        <w:rPr>
          <w:b/>
          <w:i/>
          <w:szCs w:val="24"/>
        </w:rPr>
        <w:t xml:space="preserve">in the same way as non-distributable </w:t>
      </w:r>
      <w:r w:rsidR="00357EFF">
        <w:rPr>
          <w:b/>
          <w:i/>
          <w:szCs w:val="24"/>
        </w:rPr>
        <w:t>remuneration</w:t>
      </w:r>
      <w:r w:rsidR="00772ABA" w:rsidRPr="00772ABA">
        <w:rPr>
          <w:b/>
          <w:i/>
          <w:szCs w:val="24"/>
        </w:rPr>
        <w:t xml:space="preserve"> for cultural and social purposes  </w:t>
      </w:r>
      <w:r w:rsidR="00D9719F" w:rsidRPr="00772ABA">
        <w:rPr>
          <w:b/>
          <w:i/>
          <w:szCs w:val="24"/>
        </w:rPr>
        <w:t xml:space="preserve"> </w:t>
      </w:r>
    </w:p>
    <w:p w:rsidR="009E53E6" w:rsidRDefault="009E53E6" w:rsidP="00A54FD8">
      <w:pPr>
        <w:pStyle w:val="Paraindent"/>
        <w:tabs>
          <w:tab w:val="left" w:pos="284"/>
        </w:tabs>
        <w:spacing w:line="240" w:lineRule="auto"/>
        <w:ind w:firstLine="0"/>
        <w:jc w:val="both"/>
        <w:rPr>
          <w:b/>
          <w:i/>
          <w:szCs w:val="24"/>
        </w:rPr>
      </w:pPr>
    </w:p>
    <w:p w:rsidR="002F1F60" w:rsidRPr="002F1F60" w:rsidRDefault="00A95B91" w:rsidP="002F1F60">
      <w:pPr>
        <w:pStyle w:val="Szvegtrzs"/>
        <w:ind w:left="0"/>
        <w:jc w:val="both"/>
        <w:rPr>
          <w:sz w:val="24"/>
          <w:szCs w:val="24"/>
          <w:lang w:eastAsia="hu-HU"/>
        </w:rPr>
      </w:pPr>
      <w:r>
        <w:rPr>
          <w:sz w:val="24"/>
          <w:szCs w:val="24"/>
          <w:lang w:eastAsia="hu-HU"/>
        </w:rPr>
        <w:t>Of</w:t>
      </w:r>
      <w:r w:rsidR="009E53E6" w:rsidRPr="002F1F60">
        <w:rPr>
          <w:sz w:val="24"/>
          <w:szCs w:val="24"/>
          <w:lang w:eastAsia="hu-HU"/>
        </w:rPr>
        <w:t xml:space="preserve"> course, the disrespect of this ruling </w:t>
      </w:r>
      <w:r w:rsidR="00460469" w:rsidRPr="002F1F60">
        <w:rPr>
          <w:sz w:val="24"/>
          <w:szCs w:val="24"/>
          <w:lang w:eastAsia="hu-HU"/>
        </w:rPr>
        <w:t xml:space="preserve">of </w:t>
      </w:r>
      <w:r w:rsidR="009E53E6" w:rsidRPr="002F1F60">
        <w:rPr>
          <w:sz w:val="24"/>
          <w:szCs w:val="24"/>
          <w:lang w:eastAsia="hu-HU"/>
        </w:rPr>
        <w:t>the Court might not be a</w:t>
      </w:r>
      <w:r>
        <w:rPr>
          <w:sz w:val="24"/>
          <w:szCs w:val="24"/>
          <w:lang w:eastAsia="hu-HU"/>
        </w:rPr>
        <w:t>n</w:t>
      </w:r>
      <w:r w:rsidR="009E53E6" w:rsidRPr="002F1F60">
        <w:rPr>
          <w:sz w:val="24"/>
          <w:szCs w:val="24"/>
          <w:lang w:eastAsia="hu-HU"/>
        </w:rPr>
        <w:t xml:space="preserve"> </w:t>
      </w:r>
      <w:r>
        <w:rPr>
          <w:sz w:val="24"/>
          <w:szCs w:val="24"/>
          <w:lang w:eastAsia="hu-HU"/>
        </w:rPr>
        <w:t>attractive</w:t>
      </w:r>
      <w:r w:rsidR="009E53E6" w:rsidRPr="002F1F60">
        <w:rPr>
          <w:sz w:val="24"/>
          <w:szCs w:val="24"/>
          <w:lang w:eastAsia="hu-HU"/>
        </w:rPr>
        <w:t xml:space="preserve">, but it would be necessary to clarify that </w:t>
      </w:r>
      <w:r>
        <w:rPr>
          <w:sz w:val="24"/>
          <w:szCs w:val="24"/>
          <w:lang w:eastAsia="hu-HU"/>
        </w:rPr>
        <w:t xml:space="preserve">point 2 of the ruling </w:t>
      </w:r>
      <w:r w:rsidR="009E53E6" w:rsidRPr="002F1F60">
        <w:rPr>
          <w:sz w:val="24"/>
          <w:szCs w:val="24"/>
          <w:lang w:eastAsia="hu-HU"/>
        </w:rPr>
        <w:t xml:space="preserve">is not applicable retrospectively (in an </w:t>
      </w:r>
      <w:r w:rsidR="009E53E6" w:rsidRPr="002F1F60">
        <w:rPr>
          <w:i/>
          <w:sz w:val="24"/>
          <w:szCs w:val="24"/>
          <w:lang w:eastAsia="hu-HU"/>
        </w:rPr>
        <w:t>ex tunc</w:t>
      </w:r>
      <w:r w:rsidR="009E53E6" w:rsidRPr="002F1F60">
        <w:rPr>
          <w:sz w:val="24"/>
          <w:szCs w:val="24"/>
          <w:lang w:eastAsia="hu-HU"/>
        </w:rPr>
        <w:t xml:space="preserve"> manner), and it would </w:t>
      </w:r>
      <w:r>
        <w:rPr>
          <w:sz w:val="24"/>
          <w:szCs w:val="24"/>
          <w:lang w:eastAsia="hu-HU"/>
        </w:rPr>
        <w:t xml:space="preserve">also </w:t>
      </w:r>
      <w:r w:rsidR="009E53E6" w:rsidRPr="002F1F60">
        <w:rPr>
          <w:sz w:val="24"/>
          <w:szCs w:val="24"/>
          <w:lang w:eastAsia="hu-HU"/>
        </w:rPr>
        <w:t>be desirable to find an appropriate solution to delay or suspend the application of this ruling until the European Parliament and The Council confirm in a legislative norm too (what seems to clear also without this) that the right provided in Article 8 of Directive</w:t>
      </w:r>
      <w:r w:rsidR="00487DA4" w:rsidRPr="002F1F60">
        <w:rPr>
          <w:sz w:val="24"/>
          <w:szCs w:val="24"/>
          <w:lang w:eastAsia="hu-HU"/>
        </w:rPr>
        <w:t xml:space="preserve"> </w:t>
      </w:r>
      <w:r w:rsidR="00487DA4" w:rsidRPr="002F1F60">
        <w:rPr>
          <w:bCs/>
          <w:sz w:val="24"/>
          <w:szCs w:val="24"/>
        </w:rPr>
        <w:t>2006/115/EC</w:t>
      </w:r>
      <w:r w:rsidR="009E53E6" w:rsidRPr="002F1F60">
        <w:rPr>
          <w:sz w:val="24"/>
          <w:szCs w:val="24"/>
          <w:lang w:eastAsia="hu-HU"/>
        </w:rPr>
        <w:t>, in addition to the nationals of the EU Member States, is only applies to</w:t>
      </w:r>
      <w:r w:rsidR="002F1F60" w:rsidRPr="002F1F60">
        <w:rPr>
          <w:sz w:val="24"/>
          <w:szCs w:val="24"/>
          <w:lang w:eastAsia="hu-HU"/>
        </w:rPr>
        <w:t xml:space="preserve"> those performers and producers of phonograms whose right are to be protected under the international treaties. </w:t>
      </w:r>
      <w:r w:rsidR="009E53E6" w:rsidRPr="002F1F60">
        <w:rPr>
          <w:sz w:val="24"/>
          <w:szCs w:val="24"/>
          <w:lang w:eastAsia="hu-HU"/>
        </w:rPr>
        <w:t xml:space="preserve"> </w:t>
      </w:r>
    </w:p>
    <w:p w:rsidR="002F1F60" w:rsidRPr="002F1F60" w:rsidRDefault="002F1F60" w:rsidP="002F1F60">
      <w:pPr>
        <w:pStyle w:val="Szvegtrzs"/>
        <w:ind w:left="0"/>
        <w:jc w:val="both"/>
        <w:rPr>
          <w:sz w:val="24"/>
          <w:szCs w:val="24"/>
          <w:lang w:eastAsia="hu-HU"/>
        </w:rPr>
      </w:pPr>
    </w:p>
    <w:p w:rsidR="00AF56B5" w:rsidRDefault="002F1F60" w:rsidP="002F1F60">
      <w:pPr>
        <w:pStyle w:val="Szvegtrzs"/>
        <w:ind w:left="0"/>
        <w:jc w:val="both"/>
        <w:rPr>
          <w:w w:val="105"/>
          <w:sz w:val="24"/>
          <w:szCs w:val="24"/>
        </w:rPr>
      </w:pPr>
      <w:r>
        <w:rPr>
          <w:szCs w:val="24"/>
          <w:lang w:eastAsia="hu-HU"/>
        </w:rPr>
        <w:t xml:space="preserve">   </w:t>
      </w:r>
      <w:r>
        <w:rPr>
          <w:w w:val="105"/>
          <w:sz w:val="24"/>
          <w:szCs w:val="24"/>
        </w:rPr>
        <w:t xml:space="preserve">As regards the need for getting rid of the newly introduced obligation which does not follow from the E.U.’s international obligations and from its consistently applied copyright and related rights policy concerning national treatment and its desirable limitations, the CJEU itself has offered a possible solution in point 2 of the rulings; namely, to state in  Directive </w:t>
      </w:r>
      <w:r w:rsidR="00AF56B5" w:rsidRPr="00665177">
        <w:rPr>
          <w:rFonts w:cs="Times New Roman"/>
          <w:bCs/>
          <w:sz w:val="24"/>
          <w:szCs w:val="24"/>
        </w:rPr>
        <w:t>2006/115/EC</w:t>
      </w:r>
      <w:r>
        <w:rPr>
          <w:w w:val="105"/>
          <w:sz w:val="24"/>
          <w:szCs w:val="24"/>
        </w:rPr>
        <w:t xml:space="preserve"> that Article 8(2)</w:t>
      </w:r>
      <w:r w:rsidR="00AF56B5">
        <w:rPr>
          <w:w w:val="105"/>
          <w:sz w:val="24"/>
          <w:szCs w:val="24"/>
        </w:rPr>
        <w:t xml:space="preserve">, </w:t>
      </w:r>
      <w:r>
        <w:rPr>
          <w:w w:val="105"/>
          <w:sz w:val="24"/>
          <w:szCs w:val="24"/>
        </w:rPr>
        <w:t xml:space="preserve">is only applicable to the nationals of Contracting Parties other than the EEA Member States in accordance with the obligations of the E.U. and its Member States under the international treaties (which would correspond to the already existing provisions in the national laws of the majority of the Member States). </w:t>
      </w:r>
      <w:r w:rsidR="00AF56B5">
        <w:rPr>
          <w:w w:val="105"/>
          <w:sz w:val="24"/>
          <w:szCs w:val="24"/>
        </w:rPr>
        <w:t>(</w:t>
      </w:r>
      <w:r>
        <w:rPr>
          <w:w w:val="105"/>
          <w:sz w:val="24"/>
          <w:szCs w:val="24"/>
        </w:rPr>
        <w:t>However, in view of the analysis above, it is submitted that this would go also without such a clarification.</w:t>
      </w:r>
      <w:r w:rsidR="00AF56B5">
        <w:rPr>
          <w:w w:val="105"/>
          <w:sz w:val="24"/>
          <w:szCs w:val="24"/>
        </w:rPr>
        <w:t>)</w:t>
      </w:r>
    </w:p>
    <w:p w:rsidR="00AF56B5" w:rsidRDefault="00AF56B5" w:rsidP="002F1F60">
      <w:pPr>
        <w:pStyle w:val="Szvegtrzs"/>
        <w:ind w:left="0"/>
        <w:jc w:val="both"/>
        <w:rPr>
          <w:w w:val="105"/>
          <w:sz w:val="24"/>
          <w:szCs w:val="24"/>
        </w:rPr>
      </w:pPr>
    </w:p>
    <w:p w:rsidR="002F1F60" w:rsidRDefault="00AF56B5" w:rsidP="002F1F60">
      <w:pPr>
        <w:pStyle w:val="Szvegtrzs"/>
        <w:ind w:left="0"/>
        <w:jc w:val="both"/>
        <w:rPr>
          <w:rFonts w:cs="Times New Roman"/>
          <w:snapToGrid w:val="0"/>
          <w:sz w:val="24"/>
          <w:szCs w:val="24"/>
        </w:rPr>
      </w:pPr>
      <w:r>
        <w:rPr>
          <w:w w:val="105"/>
          <w:sz w:val="24"/>
          <w:szCs w:val="24"/>
        </w:rPr>
        <w:t xml:space="preserve">   </w:t>
      </w:r>
      <w:r w:rsidR="002F1F60">
        <w:rPr>
          <w:w w:val="105"/>
          <w:sz w:val="24"/>
          <w:szCs w:val="24"/>
        </w:rPr>
        <w:t xml:space="preserve"> It should also be taken into account that it might create unnecessary </w:t>
      </w:r>
      <w:r w:rsidR="002F1F60">
        <w:rPr>
          <w:i/>
          <w:w w:val="105"/>
          <w:sz w:val="24"/>
          <w:szCs w:val="24"/>
        </w:rPr>
        <w:t>a contrario</w:t>
      </w:r>
      <w:r w:rsidR="002F1F60">
        <w:rPr>
          <w:w w:val="105"/>
          <w:sz w:val="24"/>
          <w:szCs w:val="24"/>
        </w:rPr>
        <w:t xml:space="preserve"> implications regarding the application of the rights provided in other directives – such as in particular the Information Society Directive – without such a clarification. Nevertheless, the problems created by the unexpected ruling of the CJEU could be eliminated, including the serious negative impact that the ruling would create by suddenly doing away significant sources applied to pursue important cultural objectives. This is discussed below along with the broader questions of whether or not the application of the “no collection without distribution” principle is necessarily justified and how and for what purposes the amounts collected for acts not covered by international obligations might be used.                                        </w:t>
      </w:r>
    </w:p>
    <w:p w:rsidR="002F1F60" w:rsidRDefault="002F1F60" w:rsidP="002F1F60">
      <w:pPr>
        <w:spacing w:after="0" w:line="240" w:lineRule="auto"/>
        <w:ind w:left="567"/>
        <w:jc w:val="both"/>
        <w:rPr>
          <w:rFonts w:ascii="Times New Roman" w:hAnsi="Times New Roman" w:cs="Times New Roman"/>
          <w:snapToGrid w:val="0"/>
          <w:sz w:val="24"/>
          <w:szCs w:val="24"/>
        </w:rPr>
      </w:pPr>
    </w:p>
    <w:p w:rsidR="009E53E6" w:rsidRDefault="00AF56B5" w:rsidP="00A54FD8">
      <w:pPr>
        <w:pStyle w:val="Paraindent"/>
        <w:tabs>
          <w:tab w:val="left" w:pos="284"/>
        </w:tabs>
        <w:spacing w:line="240" w:lineRule="auto"/>
        <w:ind w:firstLine="0"/>
        <w:jc w:val="both"/>
        <w:rPr>
          <w:b/>
          <w:i/>
          <w:szCs w:val="24"/>
        </w:rPr>
      </w:pPr>
      <w:r>
        <w:rPr>
          <w:szCs w:val="24"/>
          <w:lang w:eastAsia="hu-HU"/>
        </w:rPr>
        <w:t xml:space="preserve">   At</w:t>
      </w:r>
      <w:r w:rsidR="009E53E6">
        <w:rPr>
          <w:szCs w:val="24"/>
          <w:lang w:eastAsia="hu-HU"/>
        </w:rPr>
        <w:t xml:space="preserve"> present, </w:t>
      </w:r>
      <w:r>
        <w:rPr>
          <w:szCs w:val="24"/>
          <w:lang w:eastAsia="hu-HU"/>
        </w:rPr>
        <w:t>the use of the not-for</w:t>
      </w:r>
      <w:r w:rsidR="00A95B91">
        <w:rPr>
          <w:szCs w:val="24"/>
          <w:lang w:eastAsia="hu-HU"/>
        </w:rPr>
        <w:t>-</w:t>
      </w:r>
      <w:r>
        <w:rPr>
          <w:szCs w:val="24"/>
          <w:lang w:eastAsia="hu-HU"/>
        </w:rPr>
        <w:t>distribution amounts of remuneration is a</w:t>
      </w:r>
      <w:r w:rsidR="009E53E6">
        <w:rPr>
          <w:szCs w:val="24"/>
          <w:lang w:eastAsia="hu-HU"/>
        </w:rPr>
        <w:t xml:space="preserve"> matter of national legislation and case law of the Member States. It is possible to apply the generous practice foreseen</w:t>
      </w:r>
      <w:r w:rsidR="00A95B91">
        <w:rPr>
          <w:szCs w:val="24"/>
          <w:lang w:eastAsia="hu-HU"/>
        </w:rPr>
        <w:t xml:space="preserve"> (w</w:t>
      </w:r>
      <w:r w:rsidR="009E53E6">
        <w:rPr>
          <w:szCs w:val="24"/>
          <w:lang w:eastAsia="hu-HU"/>
        </w:rPr>
        <w:t xml:space="preserve">ith due respect, not in a well-balanced manner </w:t>
      </w:r>
      <w:r w:rsidR="00A95B91">
        <w:rPr>
          <w:szCs w:val="24"/>
          <w:lang w:eastAsia="hu-HU"/>
        </w:rPr>
        <w:t xml:space="preserve">) </w:t>
      </w:r>
      <w:r w:rsidR="009E53E6">
        <w:rPr>
          <w:szCs w:val="24"/>
          <w:lang w:eastAsia="hu-HU"/>
        </w:rPr>
        <w:t xml:space="preserve">in </w:t>
      </w:r>
      <w:r w:rsidR="009E53E6" w:rsidRPr="006B4169">
        <w:rPr>
          <w:i/>
          <w:szCs w:val="24"/>
          <w:lang w:eastAsia="hu-HU"/>
        </w:rPr>
        <w:t>RAAP</w:t>
      </w:r>
      <w:r w:rsidR="009E53E6">
        <w:rPr>
          <w:szCs w:val="24"/>
          <w:lang w:eastAsia="hu-HU"/>
        </w:rPr>
        <w:t xml:space="preserve"> and applied by Ireland (provided, however, that the management of the share due to performers must not be a matter of the organization of the producers but the association of performers)</w:t>
      </w:r>
      <w:r>
        <w:rPr>
          <w:szCs w:val="24"/>
          <w:lang w:eastAsia="hu-HU"/>
        </w:rPr>
        <w:t>;</w:t>
      </w:r>
      <w:r w:rsidR="009E53E6">
        <w:rPr>
          <w:szCs w:val="24"/>
          <w:lang w:eastAsia="hu-HU"/>
        </w:rPr>
        <w:t xml:space="preserve"> it </w:t>
      </w:r>
      <w:r>
        <w:rPr>
          <w:szCs w:val="24"/>
          <w:lang w:eastAsia="hu-HU"/>
        </w:rPr>
        <w:t>is a</w:t>
      </w:r>
      <w:r w:rsidR="009E53E6">
        <w:rPr>
          <w:szCs w:val="24"/>
          <w:lang w:eastAsia="hu-HU"/>
        </w:rPr>
        <w:t xml:space="preserve">lso possible, however, to use the remuneration collected but not </w:t>
      </w:r>
      <w:r w:rsidR="009E53E6" w:rsidRPr="009F47C2">
        <w:rPr>
          <w:szCs w:val="24"/>
          <w:lang w:eastAsia="hu-HU"/>
        </w:rPr>
        <w:t xml:space="preserve">distributable </w:t>
      </w:r>
      <w:r w:rsidRPr="009F47C2">
        <w:rPr>
          <w:szCs w:val="24"/>
          <w:lang w:eastAsia="hu-HU"/>
        </w:rPr>
        <w:t xml:space="preserve">– </w:t>
      </w:r>
      <w:r w:rsidR="009E53E6" w:rsidRPr="009F47C2">
        <w:rPr>
          <w:szCs w:val="24"/>
          <w:lang w:eastAsia="hu-HU"/>
        </w:rPr>
        <w:t>due to the absence of international obligations</w:t>
      </w:r>
      <w:r w:rsidRPr="009F47C2">
        <w:rPr>
          <w:szCs w:val="24"/>
          <w:lang w:eastAsia="hu-HU"/>
        </w:rPr>
        <w:t xml:space="preserve"> – </w:t>
      </w:r>
      <w:r w:rsidR="009E53E6" w:rsidRPr="009F47C2">
        <w:rPr>
          <w:szCs w:val="24"/>
          <w:lang w:eastAsia="hu-HU"/>
        </w:rPr>
        <w:t>for the promotion of creativity and related cultural purposes</w:t>
      </w:r>
      <w:r w:rsidR="009F47C2" w:rsidRPr="009F47C2">
        <w:rPr>
          <w:szCs w:val="24"/>
          <w:lang w:eastAsia="hu-HU"/>
        </w:rPr>
        <w:t>, which, u</w:t>
      </w:r>
      <w:r w:rsidR="009E53E6" w:rsidRPr="009F47C2">
        <w:rPr>
          <w:szCs w:val="24"/>
          <w:lang w:eastAsia="hu-HU"/>
        </w:rPr>
        <w:t>nder</w:t>
      </w:r>
      <w:r w:rsidR="009F47C2" w:rsidRPr="009F47C2">
        <w:rPr>
          <w:szCs w:val="24"/>
          <w:lang w:eastAsia="hu-HU"/>
        </w:rPr>
        <w:t xml:space="preserve"> Article 6(c) of</w:t>
      </w:r>
      <w:r w:rsidR="009E53E6" w:rsidRPr="009F47C2">
        <w:rPr>
          <w:szCs w:val="24"/>
          <w:lang w:eastAsia="hu-HU"/>
        </w:rPr>
        <w:t xml:space="preserve"> the Treaty on the Functioning of the EU</w:t>
      </w:r>
      <w:r w:rsidR="009F47C2" w:rsidRPr="009F47C2">
        <w:rPr>
          <w:szCs w:val="24"/>
          <w:lang w:eastAsia="hu-HU"/>
        </w:rPr>
        <w:t>,</w:t>
      </w:r>
      <w:r w:rsidR="009E53E6" w:rsidRPr="009F47C2">
        <w:rPr>
          <w:szCs w:val="24"/>
          <w:lang w:eastAsia="hu-HU"/>
        </w:rPr>
        <w:t xml:space="preserve"> i</w:t>
      </w:r>
      <w:r w:rsidR="009F47C2" w:rsidRPr="009F47C2">
        <w:rPr>
          <w:szCs w:val="24"/>
          <w:lang w:eastAsia="hu-HU"/>
        </w:rPr>
        <w:t>s</w:t>
      </w:r>
      <w:r w:rsidR="009E53E6" w:rsidRPr="009F47C2">
        <w:rPr>
          <w:szCs w:val="24"/>
          <w:lang w:eastAsia="hu-HU"/>
        </w:rPr>
        <w:t xml:space="preserve"> </w:t>
      </w:r>
      <w:r w:rsidR="009F47C2" w:rsidRPr="009F47C2">
        <w:rPr>
          <w:szCs w:val="24"/>
          <w:lang w:eastAsia="hu-HU"/>
        </w:rPr>
        <w:t>basically a</w:t>
      </w:r>
      <w:r w:rsidR="009E53E6" w:rsidRPr="009F47C2">
        <w:rPr>
          <w:szCs w:val="24"/>
          <w:lang w:eastAsia="hu-HU"/>
        </w:rPr>
        <w:t xml:space="preserve"> matter of competence of the Member States. As regards the principle of “no collection without distribution”</w:t>
      </w:r>
      <w:r w:rsidR="009F47C2">
        <w:rPr>
          <w:szCs w:val="24"/>
          <w:lang w:eastAsia="hu-HU"/>
        </w:rPr>
        <w:t xml:space="preserve"> (see below)</w:t>
      </w:r>
      <w:r w:rsidR="009E53E6" w:rsidRPr="009F47C2">
        <w:rPr>
          <w:szCs w:val="24"/>
          <w:lang w:eastAsia="hu-HU"/>
        </w:rPr>
        <w:t xml:space="preserve">, it may also </w:t>
      </w:r>
      <w:r w:rsidR="009E53E6">
        <w:rPr>
          <w:szCs w:val="24"/>
          <w:lang w:eastAsia="hu-HU"/>
        </w:rPr>
        <w:t xml:space="preserve">be applied by some Member States, but not necessarily in the sense that the collected remuneration must be distributed also to those whose rights are not protected, but </w:t>
      </w:r>
      <w:r w:rsidR="009F47C2">
        <w:rPr>
          <w:szCs w:val="24"/>
          <w:lang w:eastAsia="hu-HU"/>
        </w:rPr>
        <w:t xml:space="preserve">as regards </w:t>
      </w:r>
      <w:r w:rsidR="009E53E6">
        <w:rPr>
          <w:szCs w:val="24"/>
          <w:lang w:eastAsia="hu-HU"/>
        </w:rPr>
        <w:t xml:space="preserve">the determination of the </w:t>
      </w:r>
      <w:r w:rsidR="009F47C2">
        <w:rPr>
          <w:szCs w:val="24"/>
          <w:lang w:eastAsia="hu-HU"/>
        </w:rPr>
        <w:t xml:space="preserve">ways of using the </w:t>
      </w:r>
      <w:r w:rsidR="009E53E6">
        <w:rPr>
          <w:szCs w:val="24"/>
          <w:lang w:eastAsia="hu-HU"/>
        </w:rPr>
        <w:t xml:space="preserve">amounts </w:t>
      </w:r>
      <w:r w:rsidR="009F47C2">
        <w:rPr>
          <w:szCs w:val="24"/>
          <w:lang w:eastAsia="hu-HU"/>
        </w:rPr>
        <w:t xml:space="preserve">corresponding to the </w:t>
      </w:r>
      <w:r w:rsidR="009E53E6">
        <w:rPr>
          <w:szCs w:val="24"/>
          <w:lang w:eastAsia="hu-HU"/>
        </w:rPr>
        <w:t xml:space="preserve">non-protected phonograms and performances.               </w:t>
      </w:r>
    </w:p>
    <w:p w:rsidR="009E53E6" w:rsidRDefault="009E53E6" w:rsidP="00A54FD8">
      <w:pPr>
        <w:pStyle w:val="Paraindent"/>
        <w:tabs>
          <w:tab w:val="left" w:pos="284"/>
        </w:tabs>
        <w:spacing w:line="240" w:lineRule="auto"/>
        <w:ind w:firstLine="0"/>
        <w:jc w:val="both"/>
        <w:rPr>
          <w:b/>
          <w:i/>
          <w:szCs w:val="24"/>
        </w:rPr>
      </w:pPr>
    </w:p>
    <w:p w:rsidR="00DD38EA" w:rsidRDefault="00DD38EA" w:rsidP="00A54FD8">
      <w:pPr>
        <w:pStyle w:val="Paraindent"/>
        <w:tabs>
          <w:tab w:val="left" w:pos="284"/>
        </w:tabs>
        <w:spacing w:line="240" w:lineRule="auto"/>
        <w:ind w:firstLine="0"/>
        <w:jc w:val="both"/>
        <w:rPr>
          <w:snapToGrid w:val="0"/>
          <w:szCs w:val="24"/>
        </w:rPr>
      </w:pPr>
      <w:r>
        <w:rPr>
          <w:snapToGrid w:val="0"/>
          <w:szCs w:val="24"/>
        </w:rPr>
        <w:t xml:space="preserve">   It goes without saying that CMOs may deduct the costs of management before distributing and transferring the amounts due to the rightholders in accordance with their distribution rules. The use of the remuneration for any other purposes may only be possible with the permission of the rightholders. Such permissions may be granted in different ways: individually, case by case (which is not typical in practice), by accepting the conditions of membership in the organization (which is fairly frequent), through the decision of the bodies representing rightholders (which also takes place often) or by means of reciprocal representation agreements between CMOs (which is quite common practice).</w:t>
      </w:r>
    </w:p>
    <w:p w:rsidR="00DD38EA" w:rsidRDefault="00DD38EA" w:rsidP="00DD38EA">
      <w:pPr>
        <w:tabs>
          <w:tab w:val="left" w:pos="426"/>
          <w:tab w:val="left" w:pos="1220"/>
        </w:tabs>
        <w:spacing w:after="0" w:line="240" w:lineRule="auto"/>
        <w:jc w:val="both"/>
        <w:rPr>
          <w:rFonts w:ascii="Times New Roman" w:hAnsi="Times New Roman" w:cs="Times New Roman"/>
          <w:snapToGrid w:val="0"/>
          <w:sz w:val="24"/>
          <w:szCs w:val="24"/>
        </w:rPr>
      </w:pPr>
    </w:p>
    <w:p w:rsidR="00DD38EA" w:rsidRDefault="00DD38EA" w:rsidP="00DD38EA">
      <w:pPr>
        <w:tabs>
          <w:tab w:val="left" w:pos="426"/>
          <w:tab w:val="left" w:pos="12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The purposes other than covering actual costs and distribution of the remuneration for which the use of a certain percentage of collected sums is authorized are, in general, cultural or social purposes. Deductions for such purposes are quite typical in the case of “traditional” CMOs, such as musical performing rights societies. Cultural purposes normally mean promotion of national creativity (through prizes, competitions, fellowships, etc.), while social purposes serve health insurance or pension funds. Of course, rightholders are free to dispose of their remuneration as they wish, but it should be based really on their decisions either directly or through the competent bodies of their CMOs (the latter mainly applies in the relationship with foreign organizations). In this respect, the basic legal principle of </w:t>
      </w:r>
      <w:r>
        <w:rPr>
          <w:rFonts w:ascii="Times New Roman" w:hAnsi="Times New Roman" w:cs="Times New Roman"/>
          <w:i/>
          <w:snapToGrid w:val="0"/>
          <w:sz w:val="24"/>
          <w:szCs w:val="24"/>
        </w:rPr>
        <w:t xml:space="preserve">nemo plus iuris transferre potest quam ipse habet </w:t>
      </w:r>
      <w:r>
        <w:rPr>
          <w:rFonts w:ascii="Times New Roman" w:hAnsi="Times New Roman" w:cs="Times New Roman"/>
          <w:snapToGrid w:val="0"/>
          <w:sz w:val="24"/>
          <w:szCs w:val="24"/>
        </w:rPr>
        <w:t xml:space="preserve">(that is, nobody may transfer more rights than he himself has) should be respected. This means, for example, that the assembly of a collective management organization, which essentially consists of rightholders who are nationals of the country concerned, is not entitled to exercise its “generosity” by using the remuneration of </w:t>
      </w:r>
      <w:r>
        <w:rPr>
          <w:rFonts w:ascii="Times New Roman" w:hAnsi="Times New Roman" w:cs="Times New Roman"/>
          <w:i/>
          <w:snapToGrid w:val="0"/>
          <w:sz w:val="24"/>
          <w:szCs w:val="24"/>
        </w:rPr>
        <w:t>foreign</w:t>
      </w:r>
      <w:r>
        <w:rPr>
          <w:rFonts w:ascii="Times New Roman" w:hAnsi="Times New Roman" w:cs="Times New Roman"/>
          <w:snapToGrid w:val="0"/>
          <w:sz w:val="24"/>
          <w:szCs w:val="24"/>
        </w:rPr>
        <w:t xml:space="preserve"> rightholders for cultural and/or social purposes without authorization granted by those rightholders or by the CMOs representing them. </w:t>
      </w:r>
    </w:p>
    <w:p w:rsidR="00DD38EA" w:rsidRDefault="00DD38EA" w:rsidP="00DD38EA">
      <w:pPr>
        <w:tabs>
          <w:tab w:val="left" w:pos="426"/>
          <w:tab w:val="left" w:pos="5020"/>
          <w:tab w:val="left" w:pos="5620"/>
        </w:tabs>
        <w:spacing w:after="0" w:line="240" w:lineRule="auto"/>
        <w:jc w:val="both"/>
        <w:rPr>
          <w:rFonts w:ascii="Times New Roman" w:hAnsi="Times New Roman" w:cs="Times New Roman"/>
          <w:snapToGrid w:val="0"/>
          <w:sz w:val="24"/>
          <w:szCs w:val="24"/>
        </w:rPr>
      </w:pPr>
    </w:p>
    <w:p w:rsidR="00DD38EA" w:rsidRDefault="00DD38EA" w:rsidP="00DD38EA">
      <w:pPr>
        <w:tabs>
          <w:tab w:val="left" w:pos="426"/>
          <w:tab w:val="left" w:pos="5020"/>
          <w:tab w:val="left" w:pos="56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When rightholders join, or are otherwise represented by, a CMO, such deductions as a rule are simply parts of the membership package. It is difficult to speak about individual decisions of rightholders, in general, and in the case of foreign rightholders in particular, in whose name their CMOs agree to such deductions. Therefore, although the deduction of a certain percentage may be acceptable, that percentage should be quite low; otherwise, doubts might emerge concerning the legality of such a practice.</w:t>
      </w:r>
      <w:r>
        <w:rPr>
          <w:rStyle w:val="Lbjegyzet-hivatkozs"/>
          <w:rFonts w:ascii="Times New Roman" w:hAnsi="Times New Roman" w:cs="Times New Roman"/>
          <w:snapToGrid w:val="0"/>
          <w:sz w:val="24"/>
          <w:szCs w:val="24"/>
        </w:rPr>
        <w:footnoteReference w:id="35"/>
      </w:r>
      <w:r>
        <w:rPr>
          <w:rFonts w:ascii="Times New Roman" w:hAnsi="Times New Roman" w:cs="Times New Roman"/>
          <w:snapToGrid w:val="0"/>
          <w:sz w:val="24"/>
          <w:szCs w:val="24"/>
        </w:rPr>
        <w:t xml:space="preserve"> </w:t>
      </w:r>
    </w:p>
    <w:p w:rsidR="00DD38EA" w:rsidRDefault="00DD38EA" w:rsidP="00DD38EA">
      <w:pPr>
        <w:tabs>
          <w:tab w:val="left" w:pos="426"/>
          <w:tab w:val="left" w:pos="5020"/>
          <w:tab w:val="left" w:pos="5620"/>
        </w:tabs>
        <w:spacing w:after="0" w:line="240" w:lineRule="auto"/>
        <w:jc w:val="both"/>
        <w:rPr>
          <w:rFonts w:ascii="Times New Roman" w:hAnsi="Times New Roman" w:cs="Times New Roman"/>
          <w:snapToGrid w:val="0"/>
          <w:sz w:val="24"/>
          <w:szCs w:val="24"/>
        </w:rPr>
      </w:pPr>
    </w:p>
    <w:p w:rsidR="00DD38EA" w:rsidRDefault="00DD38EA" w:rsidP="00DD38EA">
      <w:pPr>
        <w:tabs>
          <w:tab w:val="left" w:pos="426"/>
          <w:tab w:val="left" w:pos="5020"/>
          <w:tab w:val="left" w:pos="56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There are, however, specific categories from this viewpoint. For example, </w:t>
      </w:r>
      <w:r w:rsidR="00546265">
        <w:rPr>
          <w:rFonts w:ascii="Times New Roman" w:hAnsi="Times New Roman" w:cs="Times New Roman"/>
          <w:snapToGrid w:val="0"/>
          <w:sz w:val="24"/>
          <w:szCs w:val="24"/>
        </w:rPr>
        <w:t xml:space="preserve">just </w:t>
      </w:r>
      <w:r>
        <w:rPr>
          <w:rFonts w:ascii="Times New Roman" w:hAnsi="Times New Roman" w:cs="Times New Roman"/>
          <w:snapToGrid w:val="0"/>
          <w:sz w:val="24"/>
          <w:szCs w:val="24"/>
        </w:rPr>
        <w:t xml:space="preserve">in respect of the management of the </w:t>
      </w:r>
      <w:r w:rsidR="00546265">
        <w:rPr>
          <w:rFonts w:ascii="Times New Roman" w:hAnsi="Times New Roman" w:cs="Times New Roman"/>
          <w:snapToGrid w:val="0"/>
          <w:sz w:val="24"/>
          <w:szCs w:val="24"/>
        </w:rPr>
        <w:t>right of performers and producers of phonograms covered in this article</w:t>
      </w:r>
      <w:r>
        <w:rPr>
          <w:rFonts w:ascii="Times New Roman" w:hAnsi="Times New Roman" w:cs="Times New Roman"/>
          <w:snapToGrid w:val="0"/>
          <w:sz w:val="24"/>
          <w:szCs w:val="24"/>
        </w:rPr>
        <w:t>, somewhat different considerations apply as regards the share due to performers from the single equitable remuneration. One of the recognized purposes of these rights is to counterbalance the losses that performers suffer by losing employment opportunities as a result of widespread uses of performances included in phonograms. For this reason, in the application of those rights, cultural and social considerations may be</w:t>
      </w:r>
      <w:r w:rsidR="00546265">
        <w:rPr>
          <w:rFonts w:ascii="Times New Roman" w:hAnsi="Times New Roman" w:cs="Times New Roman"/>
          <w:snapToGrid w:val="0"/>
          <w:sz w:val="24"/>
          <w:szCs w:val="24"/>
        </w:rPr>
        <w:t xml:space="preserve"> even</w:t>
      </w:r>
      <w:r>
        <w:rPr>
          <w:rFonts w:ascii="Times New Roman" w:hAnsi="Times New Roman" w:cs="Times New Roman"/>
          <w:snapToGrid w:val="0"/>
          <w:sz w:val="24"/>
          <w:szCs w:val="24"/>
        </w:rPr>
        <w:t xml:space="preserve"> more </w:t>
      </w:r>
      <w:r w:rsidR="00546265">
        <w:rPr>
          <w:rFonts w:ascii="Times New Roman" w:hAnsi="Times New Roman" w:cs="Times New Roman"/>
          <w:snapToGrid w:val="0"/>
          <w:sz w:val="24"/>
          <w:szCs w:val="24"/>
        </w:rPr>
        <w:t xml:space="preserve">important </w:t>
      </w:r>
      <w:r>
        <w:rPr>
          <w:rFonts w:ascii="Times New Roman" w:hAnsi="Times New Roman" w:cs="Times New Roman"/>
          <w:snapToGrid w:val="0"/>
          <w:sz w:val="24"/>
          <w:szCs w:val="24"/>
        </w:rPr>
        <w:t>than in the case of authors' rights. This also means that the use a relatively higher percentage of the collected sums for the promotion of creativity and for social purposes may be justified.</w:t>
      </w:r>
    </w:p>
    <w:p w:rsidR="00DD38EA" w:rsidRDefault="00DD38EA" w:rsidP="00DD38EA">
      <w:pPr>
        <w:tabs>
          <w:tab w:val="left" w:pos="426"/>
          <w:tab w:val="left" w:pos="5020"/>
          <w:tab w:val="left" w:pos="5620"/>
        </w:tabs>
        <w:spacing w:after="0" w:line="240" w:lineRule="auto"/>
        <w:jc w:val="both"/>
        <w:rPr>
          <w:rFonts w:ascii="Times New Roman" w:hAnsi="Times New Roman" w:cs="Times New Roman"/>
          <w:snapToGrid w:val="0"/>
          <w:sz w:val="24"/>
          <w:szCs w:val="24"/>
        </w:rPr>
      </w:pPr>
    </w:p>
    <w:p w:rsidR="00DD38EA" w:rsidRDefault="00DD38EA" w:rsidP="00460469">
      <w:pPr>
        <w:tabs>
          <w:tab w:val="left" w:pos="426"/>
          <w:tab w:val="left" w:pos="5020"/>
          <w:tab w:val="left" w:pos="5620"/>
        </w:tabs>
        <w:spacing w:after="0" w:line="240" w:lineRule="auto"/>
        <w:ind w:firstLine="142"/>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It is discussed in relatively detailed manner </w:t>
      </w:r>
      <w:r w:rsidR="00546265">
        <w:rPr>
          <w:rFonts w:ascii="Times New Roman" w:hAnsi="Times New Roman" w:cs="Times New Roman"/>
          <w:snapToGrid w:val="0"/>
          <w:sz w:val="24"/>
          <w:szCs w:val="24"/>
        </w:rPr>
        <w:t xml:space="preserve">above </w:t>
      </w:r>
      <w:r>
        <w:rPr>
          <w:rFonts w:ascii="Times New Roman" w:hAnsi="Times New Roman" w:cs="Times New Roman"/>
          <w:snapToGrid w:val="0"/>
          <w:sz w:val="24"/>
          <w:szCs w:val="24"/>
        </w:rPr>
        <w:t xml:space="preserve">how the CJEU in </w:t>
      </w:r>
      <w:r>
        <w:rPr>
          <w:rFonts w:ascii="Times New Roman" w:hAnsi="Times New Roman" w:cs="Times New Roman"/>
          <w:i/>
          <w:snapToGrid w:val="0"/>
          <w:sz w:val="24"/>
          <w:szCs w:val="24"/>
        </w:rPr>
        <w:t>RAAP</w:t>
      </w:r>
      <w:r>
        <w:rPr>
          <w:rFonts w:ascii="Times New Roman" w:hAnsi="Times New Roman" w:cs="Times New Roman"/>
          <w:snapToGrid w:val="0"/>
          <w:sz w:val="24"/>
          <w:szCs w:val="24"/>
        </w:rPr>
        <w:t xml:space="preserve"> would introduce the obligation for the Member States – not existing under the WPPT </w:t>
      </w:r>
      <w:r w:rsidR="00546265">
        <w:rPr>
          <w:rFonts w:ascii="Times New Roman" w:hAnsi="Times New Roman" w:cs="Times New Roman"/>
          <w:snapToGrid w:val="0"/>
          <w:sz w:val="24"/>
          <w:szCs w:val="24"/>
        </w:rPr>
        <w:t>(</w:t>
      </w:r>
      <w:r>
        <w:rPr>
          <w:rFonts w:ascii="Times New Roman" w:hAnsi="Times New Roman" w:cs="Times New Roman"/>
          <w:snapToGrid w:val="0"/>
          <w:sz w:val="24"/>
          <w:szCs w:val="24"/>
        </w:rPr>
        <w:t>by virtue of Article 4(2) of the Treaty</w:t>
      </w:r>
      <w:r w:rsidR="00546265">
        <w:rPr>
          <w:rFonts w:ascii="Times New Roman" w:hAnsi="Times New Roman" w:cs="Times New Roman"/>
          <w:snapToGrid w:val="0"/>
          <w:sz w:val="24"/>
          <w:szCs w:val="24"/>
        </w:rPr>
        <w:t>)</w:t>
      </w:r>
      <w:r>
        <w:rPr>
          <w:rFonts w:ascii="Times New Roman" w:hAnsi="Times New Roman" w:cs="Times New Roman"/>
          <w:snapToGrid w:val="0"/>
          <w:sz w:val="24"/>
          <w:szCs w:val="24"/>
        </w:rPr>
        <w:t xml:space="preserve"> – to grant the right also to nationals of those other Contracting Parties which, in the given cases, do not grant the right to the nationals of the EU Members States</w:t>
      </w:r>
      <w:r w:rsidR="009F47C2">
        <w:rPr>
          <w:rFonts w:ascii="Times New Roman" w:hAnsi="Times New Roman" w:cs="Times New Roman"/>
          <w:snapToGrid w:val="0"/>
          <w:sz w:val="24"/>
          <w:szCs w:val="24"/>
        </w:rPr>
        <w:t xml:space="preserve"> (</w:t>
      </w:r>
      <w:r>
        <w:rPr>
          <w:rFonts w:ascii="Times New Roman" w:hAnsi="Times New Roman" w:cs="Times New Roman"/>
          <w:snapToGrid w:val="0"/>
          <w:sz w:val="24"/>
          <w:szCs w:val="24"/>
        </w:rPr>
        <w:t>since they have made reservations to the application of the right provided in Article 15(1) of the Treaty as allowed by Article 15(3)</w:t>
      </w:r>
      <w:r w:rsidR="00546265">
        <w:rPr>
          <w:rFonts w:ascii="Times New Roman" w:hAnsi="Times New Roman" w:cs="Times New Roman"/>
          <w:snapToGrid w:val="0"/>
          <w:sz w:val="24"/>
          <w:szCs w:val="24"/>
        </w:rPr>
        <w:t xml:space="preserve"> or even they are not party to the WPPT (and even to the Rome Convention)</w:t>
      </w:r>
      <w:r>
        <w:rPr>
          <w:rFonts w:ascii="Times New Roman" w:hAnsi="Times New Roman" w:cs="Times New Roman"/>
          <w:snapToGrid w:val="0"/>
          <w:sz w:val="24"/>
          <w:szCs w:val="24"/>
        </w:rPr>
        <w:t xml:space="preserve">.  As mentioned, one of the negative consequences of the newly introduced obligation to collect and transfer remuneration for all performers irrespective of whether or not there is an international obligation to do so, would be that several Member States would be deprived from important financial sources they have been legitimately used for cultural purposes, with serious negative effect for the promotion of creativity and social status of performers. </w:t>
      </w:r>
    </w:p>
    <w:p w:rsidR="00DD38EA" w:rsidRDefault="00DD38EA" w:rsidP="00DD38EA">
      <w:pPr>
        <w:tabs>
          <w:tab w:val="left" w:pos="426"/>
          <w:tab w:val="left" w:pos="5020"/>
          <w:tab w:val="left" w:pos="5620"/>
        </w:tabs>
        <w:spacing w:after="0" w:line="240" w:lineRule="auto"/>
        <w:ind w:firstLine="284"/>
        <w:jc w:val="both"/>
        <w:rPr>
          <w:rFonts w:ascii="Times New Roman" w:hAnsi="Times New Roman" w:cs="Times New Roman"/>
          <w:snapToGrid w:val="0"/>
          <w:sz w:val="24"/>
          <w:szCs w:val="24"/>
        </w:rPr>
      </w:pPr>
    </w:p>
    <w:p w:rsidR="00DD38EA" w:rsidRDefault="00DD38EA" w:rsidP="00460469">
      <w:pPr>
        <w:tabs>
          <w:tab w:val="left" w:pos="426"/>
          <w:tab w:val="left" w:pos="5020"/>
          <w:tab w:val="left" w:pos="5620"/>
        </w:tabs>
        <w:spacing w:after="0" w:line="240" w:lineRule="auto"/>
        <w:ind w:firstLine="142"/>
        <w:jc w:val="both"/>
        <w:rPr>
          <w:rFonts w:ascii="Times New Roman" w:hAnsi="Times New Roman" w:cs="Times New Roman"/>
          <w:snapToGrid w:val="0"/>
          <w:sz w:val="24"/>
          <w:szCs w:val="24"/>
        </w:rPr>
      </w:pPr>
      <w:r>
        <w:rPr>
          <w:rFonts w:ascii="Times New Roman" w:hAnsi="Times New Roman" w:cs="Times New Roman"/>
          <w:snapToGrid w:val="0"/>
          <w:sz w:val="24"/>
          <w:szCs w:val="24"/>
        </w:rPr>
        <w:t>As discussed, the introduction of such a new obligation for the Member States is not justified and it is necessary to clarify (by means of a quick</w:t>
      </w:r>
      <w:r w:rsidR="009F47C2">
        <w:rPr>
          <w:rFonts w:ascii="Times New Roman" w:hAnsi="Times New Roman" w:cs="Times New Roman"/>
          <w:snapToGrid w:val="0"/>
          <w:sz w:val="24"/>
          <w:szCs w:val="24"/>
        </w:rPr>
        <w:t xml:space="preserve">ly included provision in </w:t>
      </w:r>
      <w:r>
        <w:rPr>
          <w:rFonts w:ascii="Times New Roman" w:hAnsi="Times New Roman" w:cs="Times New Roman"/>
          <w:snapToGrid w:val="0"/>
          <w:sz w:val="24"/>
          <w:szCs w:val="24"/>
        </w:rPr>
        <w:t xml:space="preserve">Rental, Lending and Related Right Directive) that it does not apply. Hopefully, this will take place, in which case the question emerges whether it is justified to collect remuneration at all where there is no beneficiary of the right under the WPPT. </w:t>
      </w:r>
    </w:p>
    <w:p w:rsidR="00DD38EA" w:rsidRDefault="00DD38EA" w:rsidP="00DD38EA">
      <w:pPr>
        <w:tabs>
          <w:tab w:val="left" w:pos="426"/>
          <w:tab w:val="left" w:pos="5020"/>
          <w:tab w:val="left" w:pos="5620"/>
        </w:tabs>
        <w:spacing w:after="0" w:line="240" w:lineRule="auto"/>
        <w:ind w:firstLine="284"/>
        <w:jc w:val="both"/>
        <w:rPr>
          <w:rFonts w:ascii="Times New Roman" w:hAnsi="Times New Roman" w:cs="Times New Roman"/>
          <w:snapToGrid w:val="0"/>
          <w:sz w:val="24"/>
          <w:szCs w:val="24"/>
        </w:rPr>
      </w:pPr>
    </w:p>
    <w:p w:rsidR="00DD38EA" w:rsidRDefault="00DD38EA" w:rsidP="00460469">
      <w:pPr>
        <w:tabs>
          <w:tab w:val="left" w:pos="426"/>
          <w:tab w:val="left" w:pos="5020"/>
          <w:tab w:val="left" w:pos="5620"/>
        </w:tabs>
        <w:spacing w:after="0" w:line="240" w:lineRule="auto"/>
        <w:ind w:firstLine="142"/>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This issue was discussed quite intensively at the 2000 Diplomatic Conference on the rights of audiovisual performers. Although not the rights of performers covered by the WPPT were involved, in the debate, the position of the E.U. (at that time, the European Community) and the Member States on this issue – also applicable for performers whose performances are embodied in phonograms – became quite clear. Before the closure of the – in that stage not fully successful – Conference, the Chairman of Main Committee I made the following statement intended to become an agreed statement in accordance with Article 31.2(a) of the Vienna Treaties Convention:  </w:t>
      </w:r>
    </w:p>
    <w:p w:rsidR="00DD38EA" w:rsidRDefault="00DD38EA" w:rsidP="00DD38EA">
      <w:pPr>
        <w:tabs>
          <w:tab w:val="left" w:pos="426"/>
          <w:tab w:val="left" w:pos="5020"/>
          <w:tab w:val="left" w:pos="5620"/>
        </w:tabs>
        <w:spacing w:after="0" w:line="240" w:lineRule="auto"/>
        <w:ind w:firstLine="284"/>
        <w:jc w:val="both"/>
        <w:rPr>
          <w:rFonts w:ascii="Times New Roman" w:hAnsi="Times New Roman" w:cs="Times New Roman"/>
          <w:snapToGrid w:val="0"/>
          <w:sz w:val="24"/>
          <w:szCs w:val="24"/>
        </w:rPr>
      </w:pPr>
    </w:p>
    <w:p w:rsidR="00DD38EA" w:rsidRDefault="00DD38EA" w:rsidP="00DD38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[D]uring the work of Main Committee I, a proposal was made to include in the Treaty a provision stating that no Contracting Party should allow collection of remuneration in respect of performances of nationals of another Contracting Party, unless distribution of such remuneration is made to those nationals. Such rules have not been taken to the text of the Treaty. It is understood that there is no legal basis for collection of remuneration in a Contracting Party in respect of nationals of another Contracting Party for rights that it does not accord to those nationals. Collections in such circumstances would be inappropriate and without legal authority. Therefore, all those from whom such remuneration is claimed should have legal remedies against the payment. Where remuneration is collected, on the basis of proper mandates, in a Contracting Party for rights that it accords to the nationals of another Contracting Party, but not distributed to them, those nationals should have legal means to ensure that they receive the remuneration collected on their behalf.</w:t>
      </w:r>
      <w:r>
        <w:rPr>
          <w:rFonts w:ascii="Times New Roman" w:hAnsi="Times New Roman" w:cs="Times New Roman"/>
          <w:sz w:val="24"/>
          <w:szCs w:val="24"/>
          <w:vertAlign w:val="superscript"/>
        </w:rPr>
        <w:footnoteReference w:id="36"/>
      </w:r>
      <w:r>
        <w:rPr>
          <w:rFonts w:ascii="Times New Roman" w:hAnsi="Times New Roman" w:cs="Times New Roman"/>
          <w:sz w:val="24"/>
          <w:szCs w:val="24"/>
        </w:rPr>
        <w:t xml:space="preserve"> </w:t>
      </w:r>
    </w:p>
    <w:p w:rsidR="00DD38EA" w:rsidRDefault="00DD38EA" w:rsidP="00DD38EA">
      <w:pPr>
        <w:spacing w:after="0" w:line="240" w:lineRule="auto"/>
        <w:ind w:left="567"/>
        <w:jc w:val="both"/>
        <w:rPr>
          <w:rFonts w:ascii="Times New Roman" w:hAnsi="Times New Roman" w:cs="Times New Roman"/>
          <w:sz w:val="24"/>
          <w:szCs w:val="24"/>
        </w:rPr>
      </w:pPr>
    </w:p>
    <w:p w:rsidR="00DD38EA" w:rsidRDefault="00DD38EA" w:rsidP="009F47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to be noted that two different cases were covered in this would-be agreed statement: in the first four sentences, the case where – as under Article 4(2) of the WPPT – there is no right in view of which and no beneficiary for whom collection would be justified, and in the last sentence, where there is a proper mandate to collect remuneration. The real issue which was debated at the Conference was the case covered by the first four sentences. After the given session, the delegation of the European Community made the following declaration: </w:t>
      </w:r>
    </w:p>
    <w:p w:rsidR="00DD38EA" w:rsidRDefault="00DD38EA" w:rsidP="00DD38EA">
      <w:pPr>
        <w:spacing w:after="0" w:line="240" w:lineRule="auto"/>
        <w:ind w:firstLine="284"/>
        <w:jc w:val="both"/>
        <w:rPr>
          <w:rFonts w:ascii="Times New Roman" w:hAnsi="Times New Roman" w:cs="Times New Roman"/>
          <w:sz w:val="24"/>
          <w:szCs w:val="24"/>
        </w:rPr>
      </w:pPr>
    </w:p>
    <w:p w:rsidR="00DD38EA" w:rsidRPr="00546265" w:rsidRDefault="00DD38EA" w:rsidP="00DD38EA">
      <w:pPr>
        <w:pStyle w:val="Szvegtrzsbehzssal2"/>
        <w:spacing w:after="0" w:line="240" w:lineRule="auto"/>
        <w:ind w:left="567"/>
        <w:jc w:val="both"/>
        <w:rPr>
          <w:rFonts w:ascii="Times New Roman" w:hAnsi="Times New Roman" w:cs="Times New Roman"/>
          <w:sz w:val="24"/>
          <w:szCs w:val="24"/>
        </w:rPr>
      </w:pPr>
      <w:r w:rsidRPr="00546265">
        <w:rPr>
          <w:rFonts w:ascii="Times New Roman" w:hAnsi="Times New Roman" w:cs="Times New Roman"/>
          <w:sz w:val="24"/>
          <w:szCs w:val="24"/>
        </w:rPr>
        <w:t>The European Community and its member States have taken note of the declaration of the Chairman of Main Committee I regarding Article 4.</w:t>
      </w:r>
    </w:p>
    <w:p w:rsidR="00DD38EA" w:rsidRPr="00546265" w:rsidRDefault="00DD38EA" w:rsidP="00DD38EA">
      <w:pPr>
        <w:spacing w:after="0" w:line="240" w:lineRule="auto"/>
        <w:ind w:left="567"/>
        <w:jc w:val="both"/>
        <w:rPr>
          <w:rFonts w:ascii="Times New Roman" w:hAnsi="Times New Roman" w:cs="Times New Roman"/>
          <w:sz w:val="24"/>
          <w:szCs w:val="24"/>
        </w:rPr>
      </w:pPr>
    </w:p>
    <w:p w:rsidR="00DD38EA" w:rsidRPr="00546265" w:rsidRDefault="00DD38EA" w:rsidP="00DD38EA">
      <w:pPr>
        <w:pStyle w:val="Szvegtrzsbehzssal2"/>
        <w:spacing w:after="0" w:line="240" w:lineRule="auto"/>
        <w:ind w:left="567"/>
        <w:jc w:val="both"/>
        <w:rPr>
          <w:rFonts w:ascii="Times New Roman" w:hAnsi="Times New Roman" w:cs="Times New Roman"/>
          <w:sz w:val="24"/>
          <w:szCs w:val="24"/>
        </w:rPr>
      </w:pPr>
      <w:r w:rsidRPr="00546265">
        <w:rPr>
          <w:rFonts w:ascii="Times New Roman" w:hAnsi="Times New Roman" w:cs="Times New Roman"/>
          <w:sz w:val="24"/>
          <w:szCs w:val="24"/>
        </w:rPr>
        <w:t>In reaction to this, the European Community and its member States submit the following declaration for inclusion in the proceedings of the Conference:</w:t>
      </w:r>
    </w:p>
    <w:p w:rsidR="00DD38EA" w:rsidRPr="00546265" w:rsidRDefault="00DD38EA" w:rsidP="00DD38EA">
      <w:pPr>
        <w:spacing w:after="0" w:line="240" w:lineRule="auto"/>
        <w:ind w:left="567"/>
        <w:jc w:val="both"/>
        <w:rPr>
          <w:rFonts w:ascii="Times New Roman" w:hAnsi="Times New Roman" w:cs="Times New Roman"/>
          <w:sz w:val="24"/>
          <w:szCs w:val="24"/>
        </w:rPr>
      </w:pPr>
    </w:p>
    <w:p w:rsidR="00DD38EA" w:rsidRPr="00546265" w:rsidRDefault="00DD38EA" w:rsidP="00DD38EA">
      <w:pPr>
        <w:pStyle w:val="Szvegtrzsbehzssal3"/>
        <w:spacing w:after="0"/>
        <w:ind w:left="567"/>
        <w:jc w:val="both"/>
        <w:rPr>
          <w:rFonts w:ascii="Times New Roman" w:hAnsi="Times New Roman" w:cs="Times New Roman"/>
          <w:sz w:val="24"/>
          <w:szCs w:val="24"/>
        </w:rPr>
      </w:pPr>
      <w:r w:rsidRPr="00546265">
        <w:rPr>
          <w:rFonts w:ascii="Times New Roman" w:hAnsi="Times New Roman" w:cs="Times New Roman"/>
          <w:sz w:val="24"/>
          <w:szCs w:val="24"/>
        </w:rPr>
        <w:t>“The declaration made by the Chairman of Main Committee I in relation to Article 4 is of a unilateral nature and in no way implies a commitment for the members of Main Committee I or for the future Contracting Parties to the Treaty.”</w:t>
      </w:r>
      <w:r w:rsidRPr="00546265">
        <w:rPr>
          <w:rStyle w:val="Lbjegyzet-hivatkozs"/>
          <w:rFonts w:ascii="Times New Roman" w:hAnsi="Times New Roman" w:cs="Times New Roman"/>
          <w:sz w:val="24"/>
          <w:szCs w:val="24"/>
        </w:rPr>
        <w:footnoteReference w:id="37"/>
      </w:r>
    </w:p>
    <w:p w:rsidR="00DD38EA" w:rsidRDefault="00DD38EA" w:rsidP="00DD38EA">
      <w:pPr>
        <w:spacing w:after="0" w:line="240" w:lineRule="auto"/>
        <w:ind w:firstLine="284"/>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Pr>
          <w:rFonts w:ascii="Times New Roman" w:hAnsi="Times New Roman" w:cs="Times New Roman"/>
          <w:snapToGrid w:val="0"/>
          <w:sz w:val="24"/>
          <w:szCs w:val="24"/>
        </w:rPr>
        <w:t xml:space="preserve">                      </w:t>
      </w:r>
    </w:p>
    <w:p w:rsidR="00DD38EA" w:rsidRDefault="00546265" w:rsidP="009F47C2">
      <w:pPr>
        <w:tabs>
          <w:tab w:val="left" w:pos="426"/>
          <w:tab w:val="left" w:pos="5020"/>
          <w:tab w:val="left" w:pos="5620"/>
        </w:tabs>
        <w:spacing w:after="0" w:line="240" w:lineRule="auto"/>
        <w:jc w:val="both"/>
        <w:rPr>
          <w:rStyle w:val="AlcmChar"/>
          <w:rFonts w:ascii="Times New Roman" w:eastAsiaTheme="minorEastAsia" w:hAnsi="Times New Roman"/>
        </w:rPr>
      </w:pPr>
      <w:r>
        <w:rPr>
          <w:rFonts w:ascii="Times New Roman" w:hAnsi="Times New Roman" w:cs="Times New Roman"/>
          <w:snapToGrid w:val="0"/>
          <w:sz w:val="24"/>
          <w:szCs w:val="24"/>
        </w:rPr>
        <w:t>T</w:t>
      </w:r>
      <w:r w:rsidR="00DD38EA">
        <w:rPr>
          <w:rFonts w:ascii="Times New Roman" w:hAnsi="Times New Roman" w:cs="Times New Roman"/>
          <w:snapToGrid w:val="0"/>
          <w:sz w:val="24"/>
          <w:szCs w:val="24"/>
        </w:rPr>
        <w:t xml:space="preserve">his declaration reflects the position of the E.U. that it is appropriate to collect remuneration for the rightholders of such related rights also where it is not distributed because there is no right to be applied and no beneficiary. </w:t>
      </w:r>
      <w:r w:rsidR="00DD38EA">
        <w:rPr>
          <w:rStyle w:val="AlcmChar"/>
          <w:rFonts w:ascii="Times New Roman" w:eastAsiaTheme="minorEastAsia" w:hAnsi="Times New Roman"/>
        </w:rPr>
        <w:t xml:space="preserve">Three points should be made in this connection: </w:t>
      </w:r>
    </w:p>
    <w:p w:rsidR="00DD38EA" w:rsidRDefault="00DD38EA" w:rsidP="00DD38EA">
      <w:pPr>
        <w:tabs>
          <w:tab w:val="left" w:pos="426"/>
          <w:tab w:val="left" w:pos="5020"/>
          <w:tab w:val="left" w:pos="5620"/>
        </w:tabs>
        <w:spacing w:after="0" w:line="240" w:lineRule="auto"/>
        <w:ind w:firstLine="284"/>
        <w:jc w:val="both"/>
        <w:rPr>
          <w:rStyle w:val="AlcmChar"/>
          <w:rFonts w:ascii="Times New Roman" w:eastAsiaTheme="minorEastAsia" w:hAnsi="Times New Roman"/>
        </w:rPr>
      </w:pPr>
    </w:p>
    <w:p w:rsidR="00DD38EA" w:rsidRDefault="00DD38EA" w:rsidP="00DD38EA">
      <w:pPr>
        <w:tabs>
          <w:tab w:val="left" w:pos="426"/>
          <w:tab w:val="left" w:pos="5020"/>
          <w:tab w:val="left" w:pos="5620"/>
        </w:tabs>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 xml:space="preserve"> First, in principle, the amounts corresponding to the acts of communication to the public and broadcasting may truly be transferred to the foreign nationals concerned even if such an obligation does not follow from the WPPT due to Article 4(2); however, it would be a unilateral gesture and, instead of this, it should rather be linked to reciprocity (which would require further analysis from the viewpoint of EU law and possibly also new legislative norms).  </w:t>
      </w:r>
    </w:p>
    <w:p w:rsidR="00DD38EA" w:rsidRDefault="00DD38EA" w:rsidP="00DD38EA">
      <w:pPr>
        <w:tabs>
          <w:tab w:val="left" w:pos="426"/>
          <w:tab w:val="left" w:pos="5020"/>
          <w:tab w:val="left" w:pos="5620"/>
        </w:tabs>
        <w:spacing w:after="0" w:line="240" w:lineRule="auto"/>
        <w:ind w:left="567"/>
        <w:jc w:val="both"/>
        <w:rPr>
          <w:rStyle w:val="AlcmChar"/>
          <w:rFonts w:ascii="Times New Roman" w:eastAsiaTheme="minorEastAsia" w:hAnsi="Times New Roman"/>
        </w:rPr>
      </w:pPr>
    </w:p>
    <w:p w:rsidR="00DD38EA" w:rsidRDefault="00DD38EA" w:rsidP="00DD38EA">
      <w:pPr>
        <w:tabs>
          <w:tab w:val="left" w:pos="426"/>
          <w:tab w:val="left" w:pos="5020"/>
          <w:tab w:val="left" w:pos="5620"/>
        </w:tabs>
        <w:spacing w:after="0" w:line="240" w:lineRule="auto"/>
        <w:ind w:left="567"/>
        <w:jc w:val="both"/>
        <w:rPr>
          <w:rStyle w:val="AlcmChar"/>
          <w:rFonts w:ascii="Times New Roman" w:eastAsiaTheme="minorEastAsia" w:hAnsi="Times New Roman"/>
          <w:lang w:val="hu-HU"/>
        </w:rPr>
      </w:pPr>
      <w:r>
        <w:rPr>
          <w:rStyle w:val="AlcmChar"/>
          <w:rFonts w:ascii="Times New Roman" w:eastAsiaTheme="minorEastAsia" w:hAnsi="Times New Roman"/>
        </w:rPr>
        <w:t xml:space="preserve">Second, it is understandable that, commercial users and consumers do support the “no collection without distribution” principle – with strong emphasis on the “no collection” aspect – because paying for what is not protected may rightly be felt by them as an unjustified economic burden. It follows from this that the laws of Member States may (as some of them in fact do) exclude collection of fees for those foreigners who do not enjoy the right under Article 15(1) and obligate the CMOs to adapt their tariff system to this. </w:t>
      </w:r>
    </w:p>
    <w:p w:rsidR="00DD38EA" w:rsidRDefault="00DD38EA" w:rsidP="00DD38EA">
      <w:pPr>
        <w:tabs>
          <w:tab w:val="left" w:pos="426"/>
          <w:tab w:val="left" w:pos="5020"/>
          <w:tab w:val="left" w:pos="5620"/>
        </w:tabs>
        <w:spacing w:after="0" w:line="240" w:lineRule="auto"/>
        <w:ind w:left="567"/>
        <w:jc w:val="both"/>
        <w:rPr>
          <w:rStyle w:val="AlcmChar"/>
          <w:rFonts w:ascii="Times New Roman" w:eastAsiaTheme="minorEastAsia" w:hAnsi="Times New Roman"/>
          <w:lang w:val="hu-HU"/>
        </w:rPr>
      </w:pPr>
    </w:p>
    <w:p w:rsidR="00DD38EA" w:rsidRDefault="00DD38EA" w:rsidP="00DD38EA">
      <w:pPr>
        <w:spacing w:after="0" w:line="240" w:lineRule="auto"/>
        <w:ind w:left="567"/>
        <w:jc w:val="both"/>
        <w:rPr>
          <w:rStyle w:val="AlcmChar"/>
          <w:rFonts w:ascii="Times New Roman" w:eastAsiaTheme="minorEastAsia" w:hAnsi="Times New Roman"/>
        </w:rPr>
      </w:pPr>
      <w:r>
        <w:rPr>
          <w:rStyle w:val="AlcmChar"/>
          <w:rFonts w:ascii="Times New Roman" w:eastAsiaTheme="minorEastAsia" w:hAnsi="Times New Roman"/>
        </w:rPr>
        <w:t>Third, nevertheless, in certain countries, not only the non-distributable amounts (in the case of which the rightholders cannot be identified and/or located) but also the not-for-distribution amounts (in the case of which – due to absence of obligation to grant national treatment or the application of reciprocity – no fees are due to foreign rightholders) are used for cultural purposes.  In several EU Member States, the single equitable remuneration is collected irrespective of whether they are distributable, non-distributable or not-for-distribution. The non-distributable amounts (in principle due to rightholders who, however cannot be identified and/or located) are to be used in accordance with relevant provisions of the CM Directive</w:t>
      </w:r>
      <w:r>
        <w:rPr>
          <w:rStyle w:val="Lbjegyzet-hivatkozs"/>
          <w:rFonts w:ascii="Times New Roman" w:hAnsi="Times New Roman" w:cs="Times New Roman"/>
          <w:sz w:val="24"/>
          <w:szCs w:val="24"/>
          <w:lang w:eastAsia="ar-SA"/>
        </w:rPr>
        <w:footnoteReference w:id="38"/>
      </w:r>
      <w:r>
        <w:rPr>
          <w:rStyle w:val="AlcmChar"/>
          <w:rFonts w:ascii="Times New Roman" w:eastAsiaTheme="minorEastAsia" w:hAnsi="Times New Roman"/>
        </w:rPr>
        <w:t xml:space="preserve"> (frequently, to a great extent, for cultural purposes).  In contrast, the collection of not-for-distribution amounts is rather similar to (and it might even be regarded as a kind) of </w:t>
      </w:r>
      <w:r>
        <w:rPr>
          <w:rStyle w:val="AlcmChar"/>
          <w:rFonts w:ascii="Times New Roman" w:eastAsiaTheme="minorEastAsia" w:hAnsi="Times New Roman"/>
          <w:i/>
        </w:rPr>
        <w:t xml:space="preserve">domain public payant </w:t>
      </w:r>
      <w:r>
        <w:rPr>
          <w:rStyle w:val="AlcmChar"/>
          <w:rFonts w:ascii="Times New Roman" w:eastAsiaTheme="minorEastAsia" w:hAnsi="Times New Roman"/>
        </w:rPr>
        <w:t>not covered by genuine copyright and related rights norms. Such amounts normally – as in the given cases – do serve the purposes of cultural policy, including the fulfillment of the obligation of the E.U. and its Member States to protect cultural diversity, in accordance with the relevant provisions of the TFEU and the UNESCO Convention on the Protection and Promotion of the Diversity of Cultural Expressions binding the E.U. and its Member States. It does not mean that such amounts are supposed to be used exclusively for the promotion of creativity and the protection of cultural diversity in the country where they are collected. One of</w:t>
      </w:r>
      <w:r>
        <w:rPr>
          <w:rStyle w:val="AlcmChar"/>
          <w:rFonts w:ascii="Times New Roman" w:eastAsiaTheme="minorEastAsia" w:hAnsi="Times New Roman"/>
          <w:lang w:val="hu-HU"/>
        </w:rPr>
        <w:t xml:space="preserve"> </w:t>
      </w:r>
      <w:r>
        <w:rPr>
          <w:rStyle w:val="AlcmChar"/>
          <w:rFonts w:ascii="Times New Roman" w:eastAsiaTheme="minorEastAsia" w:hAnsi="Times New Roman"/>
        </w:rPr>
        <w:t xml:space="preserve">the purposes may also be to use it for cooperation purposes to promote due recognition of performers’ rights and to establish the infrastructure and organizations to manage their rights in the developing world.        </w:t>
      </w:r>
    </w:p>
    <w:p w:rsidR="00DD38EA" w:rsidRDefault="00DD38EA" w:rsidP="00DD38EA">
      <w:pPr>
        <w:tabs>
          <w:tab w:val="left" w:pos="426"/>
          <w:tab w:val="left" w:pos="5020"/>
          <w:tab w:val="left" w:pos="5620"/>
        </w:tabs>
        <w:spacing w:after="0" w:line="240" w:lineRule="auto"/>
        <w:ind w:firstLine="284"/>
        <w:jc w:val="both"/>
        <w:rPr>
          <w:snapToGrid w:val="0"/>
          <w:color w:val="FF0000"/>
        </w:rPr>
      </w:pPr>
      <w:r>
        <w:rPr>
          <w:rStyle w:val="AlcmChar"/>
          <w:rFonts w:ascii="Times New Roman" w:eastAsiaTheme="minorEastAsia" w:hAnsi="Times New Roman"/>
        </w:rPr>
        <w:t xml:space="preserve"> </w:t>
      </w:r>
      <w:r>
        <w:rPr>
          <w:rFonts w:ascii="Times New Roman" w:hAnsi="Times New Roman" w:cs="Times New Roman"/>
          <w:snapToGrid w:val="0"/>
          <w:color w:val="FF0000"/>
          <w:sz w:val="24"/>
          <w:szCs w:val="24"/>
        </w:rPr>
        <w:t xml:space="preserve">  </w:t>
      </w:r>
    </w:p>
    <w:p w:rsidR="00DD38EA" w:rsidRDefault="00DD38EA"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As regards deductions for cultural and social purposes from the remuneration the amounts of which are due to rightholders, different considerations apply to national and foreign rightholders. Under the international treaties – the Berne Convention, the Rome Convention, the TRIP</w:t>
      </w:r>
      <w:r>
        <w:rPr>
          <w:rFonts w:cs="Times New Roman"/>
          <w:sz w:val="24"/>
          <w:szCs w:val="24"/>
        </w:rPr>
        <w:t>S</w:t>
      </w:r>
      <w:r>
        <w:rPr>
          <w:rFonts w:ascii="Times New Roman" w:hAnsi="Times New Roman" w:cs="Times New Roman"/>
          <w:snapToGrid w:val="0"/>
          <w:sz w:val="24"/>
          <w:szCs w:val="24"/>
        </w:rPr>
        <w:t xml:space="preserve"> Agreement and the WIPO “Internet Treaties” – there is no obstacle to provide for deductions from the amounts due to </w:t>
      </w:r>
      <w:r>
        <w:rPr>
          <w:rFonts w:ascii="Times New Roman" w:hAnsi="Times New Roman" w:cs="Times New Roman"/>
          <w:i/>
          <w:snapToGrid w:val="0"/>
          <w:sz w:val="24"/>
          <w:szCs w:val="24"/>
        </w:rPr>
        <w:t>national</w:t>
      </w:r>
      <w:r>
        <w:rPr>
          <w:rFonts w:ascii="Times New Roman" w:hAnsi="Times New Roman" w:cs="Times New Roman"/>
          <w:snapToGrid w:val="0"/>
          <w:sz w:val="24"/>
          <w:szCs w:val="24"/>
        </w:rPr>
        <w:t xml:space="preserve"> rightholders. Although this is not too elegant, these kinds of provisions may also fix a level of protection lower than what the international norms require. Such provisions, however, are not applicable in respect of </w:t>
      </w:r>
      <w:r>
        <w:rPr>
          <w:rFonts w:ascii="Times New Roman" w:hAnsi="Times New Roman" w:cs="Times New Roman"/>
          <w:i/>
          <w:snapToGrid w:val="0"/>
          <w:sz w:val="24"/>
          <w:szCs w:val="24"/>
        </w:rPr>
        <w:t xml:space="preserve">foreign </w:t>
      </w:r>
      <w:r>
        <w:rPr>
          <w:rFonts w:ascii="Times New Roman" w:hAnsi="Times New Roman" w:cs="Times New Roman"/>
          <w:snapToGrid w:val="0"/>
          <w:sz w:val="24"/>
          <w:szCs w:val="24"/>
        </w:rPr>
        <w:t>owners of rights, since, for their protection, at least, the minimum level prescribed by the relevant international norms applies.</w:t>
      </w:r>
    </w:p>
    <w:p w:rsidR="00DD38EA" w:rsidRDefault="00DD38EA"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p>
    <w:p w:rsidR="00DD38EA" w:rsidRDefault="00DD38EA" w:rsidP="00DD38EA">
      <w:pPr>
        <w:pStyle w:val="Szvegtrzs"/>
        <w:tabs>
          <w:tab w:val="left" w:pos="426"/>
          <w:tab w:val="left" w:pos="840"/>
          <w:tab w:val="left" w:pos="1420"/>
        </w:tabs>
        <w:ind w:left="0"/>
        <w:jc w:val="both"/>
        <w:rPr>
          <w:rFonts w:cs="Times New Roman"/>
          <w:sz w:val="24"/>
          <w:szCs w:val="24"/>
        </w:rPr>
      </w:pPr>
      <w:r>
        <w:rPr>
          <w:rFonts w:cs="Times New Roman"/>
          <w:sz w:val="24"/>
          <w:szCs w:val="24"/>
        </w:rPr>
        <w:t xml:space="preserve">    There are two specific categories of remuneration in the case of which the governments have broader freedom to prescribe deductions for cultural purposes. The first one is a horizontal category that may concern various rights; namely, the amounts of non-distributable remuneration collected as mentioned above. The second category relates to certain rights to remuneration, such as, in particular, the right to remuneration for private copying, in the case of which the percentage of the deduction for cultural and social purposes may be higher</w:t>
      </w:r>
      <w:r>
        <w:rPr>
          <w:rStyle w:val="Lbjegyzet-hivatkozs"/>
          <w:rFonts w:cs="Times New Roman"/>
          <w:sz w:val="24"/>
          <w:szCs w:val="24"/>
        </w:rPr>
        <w:footnoteReference w:id="39"/>
      </w:r>
      <w:r>
        <w:rPr>
          <w:rFonts w:cs="Times New Roman"/>
          <w:sz w:val="24"/>
          <w:szCs w:val="24"/>
        </w:rPr>
        <w:t xml:space="preserve">, provided that the remaining part is sufficient to eliminate, or at least decrease to a reasonable level, the unreasonable prejudice caused by widespread private copying to the legitimate interests of rightholders.  </w:t>
      </w:r>
    </w:p>
    <w:p w:rsidR="00DD38EA" w:rsidRDefault="00DD38EA" w:rsidP="00DD38EA">
      <w:pPr>
        <w:pStyle w:val="Szvegtrzs"/>
        <w:tabs>
          <w:tab w:val="left" w:pos="426"/>
          <w:tab w:val="left" w:pos="840"/>
          <w:tab w:val="left" w:pos="1420"/>
        </w:tabs>
        <w:ind w:left="0"/>
        <w:jc w:val="both"/>
        <w:rPr>
          <w:rFonts w:cs="Times New Roman"/>
          <w:snapToGrid w:val="0"/>
          <w:sz w:val="24"/>
          <w:szCs w:val="24"/>
        </w:rPr>
      </w:pPr>
    </w:p>
    <w:p w:rsidR="00DD38EA" w:rsidRDefault="00DD38EA"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Recently, attempts have been made by some performing rights societies to eliminate, from the reciprocal representation agreements, the provisions on deductions for cultural and/or social purposes, or at least drastically reduce the level thereof below the traditionally recognized acceptable 10% level. Although there is no legal obstacle to this, and although it is a legitimate wish of such CMOs to get as high an amount of remuneration with as little deductions as reasonable, it should be seen that the sums set aside for such deductions may contribute to strengthening the “public relations” position of copyright in the countries where such amounts are “left”. Through grants for the promotion of creativity, prizes for the recognition of outstanding creative achievements, and/or financial support to young talents or to authors in need, it may be made more easily perceivable that copyright functions for the objectives that it is supposed to serve. Through this, the creative community of the countries concerned will stand more firmly behind the CMOs and the entire copyright system. With the readiness of the community to fight for its own interests and rights – and, through this, for efficient, high level copyright protection, in general – it is easier to obtain the support of the governments to create the necessary legal and practical conditions to protect the rights of all rightholders; both national and foreigners. </w:t>
      </w:r>
    </w:p>
    <w:p w:rsidR="00C004E3" w:rsidRDefault="00C004E3"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p>
    <w:p w:rsidR="00C004E3" w:rsidRDefault="00C004E3"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However, it is to be underlined again, that the category of not-for-distribution amounts of remuneration discussed in this article is a specific category. Within the limits and in the forms discussed above, it is up the legislations and governments of the EU Member States and other parties of the international treaties to determine the use of the amounts (and also whether in the tariff systems they are supposed to take into account at all).    </w:t>
      </w:r>
    </w:p>
    <w:p w:rsidR="00DD38EA" w:rsidRDefault="00DD38EA" w:rsidP="00DD38EA">
      <w:pPr>
        <w:tabs>
          <w:tab w:val="left" w:pos="426"/>
          <w:tab w:val="left" w:pos="840"/>
          <w:tab w:val="left" w:pos="1420"/>
        </w:tabs>
        <w:spacing w:after="0" w:line="240" w:lineRule="auto"/>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p>
    <w:p w:rsidR="00494D93" w:rsidRDefault="00494D93" w:rsidP="00494D93">
      <w:pPr>
        <w:spacing w:after="0" w:line="240" w:lineRule="auto"/>
        <w:ind w:left="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p>
    <w:p w:rsidR="00494D93" w:rsidRDefault="00494D93" w:rsidP="00494D93">
      <w:pPr>
        <w:spacing w:after="0" w:line="240" w:lineRule="auto"/>
        <w:rPr>
          <w:rStyle w:val="AlcmChar"/>
          <w:rFonts w:ascii="Times New Roman" w:eastAsiaTheme="minorEastAsia" w:hAnsi="Times New Roman"/>
        </w:rPr>
      </w:pPr>
      <w:r>
        <w:rPr>
          <w:rStyle w:val="AlcmChar"/>
          <w:rFonts w:ascii="Times New Roman" w:eastAsiaTheme="minorEastAsia" w:hAnsi="Times New Roman"/>
        </w:rPr>
        <w:t xml:space="preserve">   </w:t>
      </w: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494D93" w:rsidRDefault="00494D93" w:rsidP="00494D93">
      <w:pPr>
        <w:spacing w:after="0" w:line="240" w:lineRule="auto"/>
        <w:rPr>
          <w:rStyle w:val="AlcmChar"/>
          <w:rFonts w:ascii="Times New Roman" w:eastAsiaTheme="minorEastAsia" w:hAnsi="Times New Roman"/>
        </w:rPr>
      </w:pPr>
    </w:p>
    <w:p w:rsidR="00D97247" w:rsidRPr="00494D93" w:rsidRDefault="00D97247">
      <w:pPr>
        <w:rPr>
          <w:lang w:val="ru-RU"/>
        </w:rPr>
      </w:pPr>
    </w:p>
    <w:sectPr w:rsidR="00D97247" w:rsidRPr="00494D93">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CC" w:rsidRDefault="000B3ACC" w:rsidP="00494D93">
      <w:pPr>
        <w:spacing w:after="0" w:line="240" w:lineRule="auto"/>
      </w:pPr>
      <w:r>
        <w:separator/>
      </w:r>
    </w:p>
  </w:endnote>
  <w:endnote w:type="continuationSeparator" w:id="0">
    <w:p w:rsidR="000B3ACC" w:rsidRDefault="000B3ACC" w:rsidP="0049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004008"/>
      <w:docPartObj>
        <w:docPartGallery w:val="Page Numbers (Bottom of Page)"/>
        <w:docPartUnique/>
      </w:docPartObj>
    </w:sdtPr>
    <w:sdtEndPr/>
    <w:sdtContent>
      <w:p w:rsidR="00F31F5E" w:rsidRDefault="00F31F5E">
        <w:pPr>
          <w:pStyle w:val="llb"/>
          <w:jc w:val="right"/>
        </w:pPr>
        <w:r>
          <w:fldChar w:fldCharType="begin"/>
        </w:r>
        <w:r>
          <w:instrText>PAGE   \* MERGEFORMAT</w:instrText>
        </w:r>
        <w:r>
          <w:fldChar w:fldCharType="separate"/>
        </w:r>
        <w:r w:rsidR="000B3ACC" w:rsidRPr="000B3ACC">
          <w:rPr>
            <w:noProof/>
            <w:lang w:val="hu-HU"/>
          </w:rPr>
          <w:t>1</w:t>
        </w:r>
        <w:r>
          <w:fldChar w:fldCharType="end"/>
        </w:r>
      </w:p>
    </w:sdtContent>
  </w:sdt>
  <w:p w:rsidR="00F31F5E" w:rsidRDefault="00F31F5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CC" w:rsidRDefault="000B3ACC" w:rsidP="00494D93">
      <w:pPr>
        <w:spacing w:after="0" w:line="240" w:lineRule="auto"/>
      </w:pPr>
      <w:r>
        <w:separator/>
      </w:r>
    </w:p>
  </w:footnote>
  <w:footnote w:type="continuationSeparator" w:id="0">
    <w:p w:rsidR="000B3ACC" w:rsidRDefault="000B3ACC" w:rsidP="00494D93">
      <w:pPr>
        <w:spacing w:after="0" w:line="240" w:lineRule="auto"/>
      </w:pPr>
      <w:r>
        <w:continuationSeparator/>
      </w:r>
    </w:p>
  </w:footnote>
  <w:footnote w:id="1">
    <w:p w:rsidR="00752C6B" w:rsidRPr="00752C6B" w:rsidRDefault="00752C6B">
      <w:pPr>
        <w:pStyle w:val="Lbjegyzetszveg"/>
        <w:rPr>
          <w:rFonts w:ascii="Times New Roman" w:hAnsi="Times New Roman" w:cs="Times New Roman"/>
        </w:rPr>
      </w:pPr>
      <w:r w:rsidRPr="00752C6B">
        <w:rPr>
          <w:rStyle w:val="Lbjegyzet-hivatkozs"/>
        </w:rPr>
        <w:sym w:font="Symbol" w:char="F02A"/>
      </w:r>
      <w:r>
        <w:t xml:space="preserve"> </w:t>
      </w:r>
      <w:r w:rsidRPr="00752C6B">
        <w:rPr>
          <w:rFonts w:ascii="Times New Roman" w:hAnsi="Times New Roman" w:cs="Times New Roman"/>
        </w:rPr>
        <w:t xml:space="preserve">Member of the Hungarian Copyright Experts Council, former Assistant Director General of WIPO. </w:t>
      </w:r>
    </w:p>
  </w:footnote>
  <w:footnote w:id="2">
    <w:p w:rsidR="00D32529" w:rsidRDefault="00D32529" w:rsidP="00D32529">
      <w:pPr>
        <w:pStyle w:val="Lbjegyzetszveg"/>
        <w:jc w:val="both"/>
        <w:rPr>
          <w:lang w:val="hu-HU"/>
        </w:rPr>
      </w:pPr>
      <w:r>
        <w:rPr>
          <w:rStyle w:val="Lbjegyzet-hivatkozs"/>
        </w:rPr>
        <w:footnoteRef/>
      </w:r>
      <w:r>
        <w:t xml:space="preserve"> </w:t>
      </w:r>
      <w:r>
        <w:rPr>
          <w:rFonts w:ascii="Times New Roman" w:eastAsia="Times New Roman" w:hAnsi="Times New Roman" w:cs="Times New Roman"/>
          <w:bCs/>
          <w:color w:val="000000"/>
        </w:rPr>
        <w:t>Recorded Artists Actors Performers Ltd [RAAP] v. Phonographic Performance (Ireland) Ltd, [PPI], Minister for Jobs, Enterprise and Innovation, Ireland, Attorney General,</w:t>
      </w:r>
      <w:r>
        <w:rPr>
          <w:rFonts w:ascii="Times New Roman" w:hAnsi="Times New Roman" w:cs="Times New Roman"/>
        </w:rPr>
        <w:t xml:space="preserve"> (Case C-265/19; ECLI:EU:C:2020:677)</w:t>
      </w:r>
    </w:p>
    <w:p w:rsidR="00D32529" w:rsidRPr="00D32529" w:rsidRDefault="00D32529">
      <w:pPr>
        <w:pStyle w:val="Lbjegyzetszveg"/>
        <w:rPr>
          <w:lang w:val="hu-HU"/>
        </w:rPr>
      </w:pPr>
    </w:p>
  </w:footnote>
  <w:footnote w:id="3">
    <w:p w:rsidR="00D32529" w:rsidRDefault="00D32529">
      <w:pPr>
        <w:pStyle w:val="Lbjegyzetszveg"/>
      </w:pPr>
      <w:r>
        <w:rPr>
          <w:rStyle w:val="Lbjegyzet-hivatkozs"/>
        </w:rPr>
        <w:footnoteRef/>
      </w:r>
      <w:r>
        <w:t xml:space="preserve"> </w:t>
      </w:r>
      <w:r w:rsidRPr="00D91783">
        <w:rPr>
          <w:rFonts w:ascii="Times New Roman" w:hAnsi="Times New Roman" w:cs="Times New Roman"/>
        </w:rPr>
        <w:t>Article 52(1) of the Charter reads as follows:</w:t>
      </w:r>
    </w:p>
    <w:p w:rsidR="00D32529" w:rsidRPr="00D32529" w:rsidRDefault="00D32529" w:rsidP="00D32529">
      <w:pPr>
        <w:pStyle w:val="Lbjegyzetszveg"/>
        <w:ind w:left="284"/>
        <w:jc w:val="both"/>
        <w:rPr>
          <w:rFonts w:ascii="Times New Roman" w:hAnsi="Times New Roman" w:cs="Times New Roman"/>
          <w:lang w:val="hu-HU"/>
        </w:rPr>
      </w:pPr>
      <w:r w:rsidRPr="00D32529">
        <w:rPr>
          <w:rFonts w:ascii="Times New Roman" w:hAnsi="Times New Roman" w:cs="Times New Roman"/>
        </w:rPr>
        <w:t>1.   Any limitation on the exercise of the rights and freedoms recognised by this Charter must be provided for by law and respect the essence of those rights and freedoms. Subject to the principle of proportionality, limitations may be made only if they are necessary and genuinely meet objectives of general interest recognised by the Union or the need to protect the rights and freedoms of others.</w:t>
      </w:r>
    </w:p>
  </w:footnote>
  <w:footnote w:id="4">
    <w:p w:rsidR="00494D93" w:rsidRDefault="00494D93" w:rsidP="00494D93">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The preliminary questions to which the CJEU has responded in this way has been submitted by the Irish High Court as ruled in its judgment of January 11. 2019 ([2018] the High Court 2016 Bo 6897P; hereinafter: judgement of the referring  court).   </w:t>
      </w:r>
    </w:p>
    <w:p w:rsidR="00494D93" w:rsidRDefault="00494D93" w:rsidP="00494D93">
      <w:pPr>
        <w:shd w:val="clear" w:color="auto" w:fill="FFFFFF"/>
        <w:spacing w:after="0" w:line="510" w:lineRule="atLeast"/>
        <w:jc w:val="both"/>
        <w:rPr>
          <w:rFonts w:ascii="Times New Roman" w:eastAsia="Times New Roman" w:hAnsi="Times New Roman" w:cs="Times New Roman"/>
          <w:color w:val="333333"/>
          <w:sz w:val="24"/>
          <w:szCs w:val="24"/>
        </w:rPr>
      </w:pPr>
    </w:p>
    <w:p w:rsidR="00494D93" w:rsidRDefault="00494D93" w:rsidP="00494D93">
      <w:pPr>
        <w:pStyle w:val="Lbjegyzetszveg"/>
        <w:rPr>
          <w:lang w:val="hu-HU"/>
        </w:rPr>
      </w:pPr>
    </w:p>
  </w:footnote>
  <w:footnote w:id="5">
    <w:p w:rsidR="00494D93" w:rsidRDefault="00494D93" w:rsidP="00494D93">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Until the lawsuit, no such country had been designated (for reciprocal protection what would follow from item (c)). </w:t>
      </w:r>
    </w:p>
  </w:footnote>
  <w:footnote w:id="6">
    <w:p w:rsidR="00494D93" w:rsidRDefault="00494D93" w:rsidP="00494D93">
      <w:pPr>
        <w:pStyle w:val="Lbjegyzetszveg"/>
        <w:rPr>
          <w:lang w:val="hu-HU"/>
        </w:rPr>
      </w:pPr>
      <w:r>
        <w:rPr>
          <w:rStyle w:val="Lbjegyzet-hivatkozs"/>
        </w:rPr>
        <w:footnoteRef/>
      </w:r>
      <w:r>
        <w:t xml:space="preserve"> </w:t>
      </w:r>
      <w:r>
        <w:rPr>
          <w:rFonts w:ascii="Times New Roman" w:hAnsi="Times New Roman" w:cs="Times New Roman"/>
          <w:i/>
          <w:lang w:val="hu-HU"/>
        </w:rPr>
        <w:t>See</w:t>
      </w:r>
      <w:r>
        <w:rPr>
          <w:rFonts w:ascii="Times New Roman" w:hAnsi="Times New Roman" w:cs="Times New Roman"/>
          <w:lang w:val="hu-HU"/>
        </w:rPr>
        <w:t xml:space="preserve"> </w:t>
      </w:r>
      <w:r>
        <w:rPr>
          <w:rFonts w:ascii="Times New Roman" w:hAnsi="Times New Roman" w:cs="Times New Roman"/>
        </w:rPr>
        <w:t xml:space="preserve">High Court order [2019] No. 10801 P. and Court of Appeal </w:t>
      </w:r>
      <w:r>
        <w:rPr>
          <w:rFonts w:ascii="Times New Roman" w:hAnsi="Times New Roman" w:cs="Times New Roman"/>
          <w:w w:val="105"/>
        </w:rPr>
        <w:t xml:space="preserve">Record Number: 2019/22fi. </w:t>
      </w:r>
      <w:r>
        <w:rPr>
          <w:lang w:val="hu-HU"/>
        </w:rPr>
        <w:t xml:space="preserve">  </w:t>
      </w:r>
    </w:p>
  </w:footnote>
  <w:footnote w:id="7">
    <w:p w:rsidR="00D91783" w:rsidRDefault="00494D93" w:rsidP="00D91783">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sidR="00D91783">
        <w:rPr>
          <w:rFonts w:ascii="Times New Roman" w:hAnsi="Times New Roman" w:cs="Times New Roman"/>
        </w:rPr>
        <w:t xml:space="preserve">The WIPO Glossary defines “the principle of </w:t>
      </w:r>
      <w:r w:rsidR="00D91783">
        <w:rPr>
          <w:rFonts w:ascii="Times New Roman" w:hAnsi="Times New Roman" w:cs="Times New Roman"/>
          <w:i/>
        </w:rPr>
        <w:t xml:space="preserve">relative </w:t>
      </w:r>
      <w:r w:rsidR="00D91783">
        <w:rPr>
          <w:rFonts w:ascii="Times New Roman" w:hAnsi="Times New Roman" w:cs="Times New Roman"/>
        </w:rPr>
        <w:t xml:space="preserve">freedom of legal characterization of acts and rights” in this way [emphasis is added to the adjective “relative”]:   </w:t>
      </w:r>
    </w:p>
    <w:p w:rsidR="00D91783" w:rsidRDefault="00D91783" w:rsidP="00D91783">
      <w:pPr>
        <w:tabs>
          <w:tab w:val="left" w:pos="567"/>
          <w:tab w:val="left" w:pos="720"/>
        </w:tabs>
        <w:spacing w:after="0" w:line="240" w:lineRule="auto"/>
        <w:ind w:left="284"/>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1. It is a broadly applied practice in national legislation to use terms other than those appearing in the </w:t>
      </w:r>
      <w:r>
        <w:rPr>
          <w:rFonts w:ascii="Times New Roman" w:hAnsi="Times New Roman" w:cs="Times New Roman"/>
          <w:i/>
          <w:snapToGrid w:val="0"/>
          <w:sz w:val="20"/>
          <w:szCs w:val="20"/>
        </w:rPr>
        <w:t>international norms on copyright and related rights</w:t>
      </w:r>
      <w:r>
        <w:rPr>
          <w:rFonts w:ascii="Times New Roman" w:hAnsi="Times New Roman" w:cs="Times New Roman"/>
          <w:snapToGrid w:val="0"/>
          <w:sz w:val="20"/>
          <w:szCs w:val="20"/>
        </w:rPr>
        <w:t xml:space="preserve"> concerning certain acts covered by such rights, and consequently by the rights themselves; that is, to characterize the acts and rights concerned in a way different from the way they are characterized legally in the said international norms.  For example, several countries grant a “</w:t>
      </w:r>
      <w:r>
        <w:rPr>
          <w:rFonts w:ascii="Times New Roman" w:hAnsi="Times New Roman" w:cs="Times New Roman"/>
          <w:i/>
          <w:snapToGrid w:val="0"/>
          <w:sz w:val="20"/>
          <w:szCs w:val="20"/>
        </w:rPr>
        <w:t>right of public performance</w:t>
      </w:r>
      <w:r>
        <w:rPr>
          <w:rFonts w:ascii="Times New Roman" w:hAnsi="Times New Roman" w:cs="Times New Roman"/>
          <w:snapToGrid w:val="0"/>
          <w:sz w:val="20"/>
          <w:szCs w:val="20"/>
        </w:rPr>
        <w:t xml:space="preserve">” in a way that it covers more or less all </w:t>
      </w:r>
      <w:r>
        <w:rPr>
          <w:rFonts w:ascii="Times New Roman" w:hAnsi="Times New Roman" w:cs="Times New Roman"/>
          <w:i/>
          <w:snapToGrid w:val="0"/>
          <w:sz w:val="20"/>
          <w:szCs w:val="20"/>
        </w:rPr>
        <w:t>non-copy-related rights</w:t>
      </w:r>
      <w:r>
        <w:rPr>
          <w:rFonts w:ascii="Times New Roman" w:hAnsi="Times New Roman" w:cs="Times New Roman"/>
          <w:snapToGrid w:val="0"/>
          <w:sz w:val="20"/>
          <w:szCs w:val="20"/>
        </w:rPr>
        <w:t xml:space="preserve"> (in particular, also the </w:t>
      </w:r>
      <w:r>
        <w:rPr>
          <w:rFonts w:ascii="Times New Roman" w:hAnsi="Times New Roman" w:cs="Times New Roman"/>
          <w:i/>
          <w:snapToGrid w:val="0"/>
          <w:sz w:val="20"/>
          <w:szCs w:val="20"/>
        </w:rPr>
        <w:t>right of broadcasting</w:t>
      </w:r>
      <w:r>
        <w:rPr>
          <w:rFonts w:ascii="Times New Roman" w:hAnsi="Times New Roman" w:cs="Times New Roman"/>
          <w:snapToGrid w:val="0"/>
          <w:sz w:val="20"/>
          <w:szCs w:val="20"/>
        </w:rPr>
        <w:t xml:space="preserve"> and the </w:t>
      </w:r>
      <w:r>
        <w:rPr>
          <w:rFonts w:ascii="Times New Roman" w:hAnsi="Times New Roman" w:cs="Times New Roman"/>
          <w:i/>
          <w:snapToGrid w:val="0"/>
          <w:sz w:val="20"/>
          <w:szCs w:val="20"/>
        </w:rPr>
        <w:t>right of communication to the public by cable (wire)</w:t>
      </w:r>
      <w:r>
        <w:rPr>
          <w:rFonts w:ascii="Times New Roman" w:hAnsi="Times New Roman" w:cs="Times New Roman"/>
          <w:snapToGrid w:val="0"/>
          <w:sz w:val="20"/>
          <w:szCs w:val="20"/>
        </w:rPr>
        <w:t xml:space="preserve">, which, in the </w:t>
      </w:r>
      <w:r>
        <w:rPr>
          <w:rFonts w:ascii="Times New Roman" w:hAnsi="Times New Roman" w:cs="Times New Roman"/>
          <w:i/>
          <w:snapToGrid w:val="0"/>
          <w:sz w:val="20"/>
          <w:szCs w:val="20"/>
        </w:rPr>
        <w:t>Berne Convention</w:t>
      </w:r>
      <w:r>
        <w:rPr>
          <w:rFonts w:ascii="Times New Roman" w:hAnsi="Times New Roman" w:cs="Times New Roman"/>
          <w:snapToGrid w:val="0"/>
          <w:sz w:val="20"/>
          <w:szCs w:val="20"/>
        </w:rPr>
        <w:t xml:space="preserve"> are construed as separate rights), or it is also frequent in national laws that a broader </w:t>
      </w:r>
      <w:r>
        <w:rPr>
          <w:rFonts w:ascii="Times New Roman" w:hAnsi="Times New Roman" w:cs="Times New Roman"/>
          <w:i/>
          <w:snapToGrid w:val="0"/>
          <w:sz w:val="20"/>
          <w:szCs w:val="20"/>
        </w:rPr>
        <w:t>right of broadcasting</w:t>
      </w:r>
      <w:r>
        <w:rPr>
          <w:rFonts w:ascii="Times New Roman" w:hAnsi="Times New Roman" w:cs="Times New Roman"/>
          <w:snapToGrid w:val="0"/>
          <w:sz w:val="20"/>
          <w:szCs w:val="20"/>
        </w:rPr>
        <w:t xml:space="preserve"> is provided which also covers the </w:t>
      </w:r>
      <w:r>
        <w:rPr>
          <w:rFonts w:ascii="Times New Roman" w:hAnsi="Times New Roman" w:cs="Times New Roman"/>
          <w:i/>
          <w:snapToGrid w:val="0"/>
          <w:sz w:val="20"/>
          <w:szCs w:val="20"/>
        </w:rPr>
        <w:t>right of communication to the public by cable (wire)</w:t>
      </w:r>
      <w:r>
        <w:rPr>
          <w:rFonts w:ascii="Times New Roman" w:hAnsi="Times New Roman" w:cs="Times New Roman"/>
          <w:snapToGrid w:val="0"/>
          <w:sz w:val="20"/>
          <w:szCs w:val="20"/>
        </w:rPr>
        <w:t xml:space="preserve">, a separate right under the </w:t>
      </w:r>
      <w:r>
        <w:rPr>
          <w:rFonts w:ascii="Times New Roman" w:hAnsi="Times New Roman" w:cs="Times New Roman"/>
          <w:i/>
          <w:snapToGrid w:val="0"/>
          <w:sz w:val="20"/>
          <w:szCs w:val="20"/>
        </w:rPr>
        <w:t>Berne Convention</w:t>
      </w:r>
      <w:r>
        <w:rPr>
          <w:rFonts w:ascii="Times New Roman" w:hAnsi="Times New Roman" w:cs="Times New Roman"/>
          <w:snapToGrid w:val="0"/>
          <w:sz w:val="20"/>
          <w:szCs w:val="20"/>
        </w:rPr>
        <w:t>.</w:t>
      </w:r>
    </w:p>
    <w:p w:rsidR="00D91783" w:rsidRDefault="00D91783" w:rsidP="00D91783">
      <w:pPr>
        <w:tabs>
          <w:tab w:val="left" w:pos="284"/>
          <w:tab w:val="left" w:pos="426"/>
          <w:tab w:val="left" w:pos="567"/>
        </w:tabs>
        <w:spacing w:after="0" w:line="240" w:lineRule="auto"/>
        <w:ind w:left="284"/>
        <w:jc w:val="both"/>
        <w:rPr>
          <w:rFonts w:ascii="Times New Roman" w:hAnsi="Times New Roman" w:cs="Times New Roman"/>
          <w:sz w:val="20"/>
          <w:szCs w:val="20"/>
        </w:rPr>
      </w:pPr>
      <w:r>
        <w:rPr>
          <w:rFonts w:ascii="Times New Roman" w:hAnsi="Times New Roman" w:cs="Times New Roman"/>
          <w:snapToGrid w:val="0"/>
          <w:sz w:val="20"/>
          <w:szCs w:val="20"/>
        </w:rPr>
        <w:t>2.</w:t>
      </w:r>
      <w:r>
        <w:rPr>
          <w:rFonts w:ascii="Times New Roman" w:hAnsi="Times New Roman" w:cs="Times New Roman"/>
          <w:snapToGrid w:val="0"/>
          <w:sz w:val="20"/>
          <w:szCs w:val="20"/>
        </w:rPr>
        <w:tab/>
        <w:t xml:space="preserve">Such a practice is accepted and regarded as legitimate, provided that the level of protection granted by the legislation of the given country, in spite of the differing legal characterization of the acts and rights concerned, corresponds to the minimum level of protection prescribed by the relevant </w:t>
      </w:r>
      <w:r>
        <w:rPr>
          <w:rFonts w:ascii="Times New Roman" w:hAnsi="Times New Roman" w:cs="Times New Roman"/>
          <w:i/>
          <w:snapToGrid w:val="0"/>
          <w:sz w:val="20"/>
          <w:szCs w:val="20"/>
        </w:rPr>
        <w:t xml:space="preserve">international norms on copyright and related rights </w:t>
      </w:r>
      <w:r>
        <w:rPr>
          <w:rFonts w:ascii="Times New Roman" w:hAnsi="Times New Roman" w:cs="Times New Roman"/>
          <w:snapToGrid w:val="0"/>
          <w:sz w:val="20"/>
          <w:szCs w:val="20"/>
        </w:rPr>
        <w:t xml:space="preserve">(such as in respect of the nature of the rights – whether </w:t>
      </w:r>
      <w:r>
        <w:rPr>
          <w:rFonts w:ascii="Times New Roman" w:hAnsi="Times New Roman" w:cs="Times New Roman"/>
          <w:i/>
          <w:snapToGrid w:val="0"/>
          <w:sz w:val="20"/>
          <w:szCs w:val="20"/>
        </w:rPr>
        <w:t>exclusive rights</w:t>
      </w:r>
      <w:r>
        <w:rPr>
          <w:rFonts w:ascii="Times New Roman" w:hAnsi="Times New Roman" w:cs="Times New Roman"/>
          <w:snapToGrid w:val="0"/>
          <w:sz w:val="20"/>
          <w:szCs w:val="20"/>
        </w:rPr>
        <w:t xml:space="preserve"> of </w:t>
      </w:r>
      <w:r>
        <w:rPr>
          <w:rFonts w:ascii="Times New Roman" w:hAnsi="Times New Roman" w:cs="Times New Roman"/>
          <w:i/>
          <w:snapToGrid w:val="0"/>
          <w:sz w:val="20"/>
          <w:szCs w:val="20"/>
        </w:rPr>
        <w:t>authorization</w:t>
      </w:r>
      <w:r>
        <w:rPr>
          <w:rFonts w:ascii="Times New Roman" w:hAnsi="Times New Roman" w:cs="Times New Roman"/>
          <w:snapToGrid w:val="0"/>
          <w:sz w:val="20"/>
          <w:szCs w:val="20"/>
        </w:rPr>
        <w:t xml:space="preserve"> or a mere right to </w:t>
      </w:r>
      <w:r>
        <w:rPr>
          <w:rFonts w:ascii="Times New Roman" w:hAnsi="Times New Roman" w:cs="Times New Roman"/>
          <w:i/>
          <w:snapToGrid w:val="0"/>
          <w:sz w:val="20"/>
          <w:szCs w:val="20"/>
        </w:rPr>
        <w:t>remuneration</w:t>
      </w:r>
      <w:r>
        <w:rPr>
          <w:rFonts w:ascii="Times New Roman" w:hAnsi="Times New Roman" w:cs="Times New Roman"/>
          <w:snapToGrid w:val="0"/>
          <w:sz w:val="20"/>
          <w:szCs w:val="20"/>
        </w:rPr>
        <w:t xml:space="preserve"> – or the scope of </w:t>
      </w:r>
      <w:r>
        <w:rPr>
          <w:rFonts w:ascii="Times New Roman" w:hAnsi="Times New Roman" w:cs="Times New Roman"/>
          <w:i/>
          <w:snapToGrid w:val="0"/>
          <w:sz w:val="20"/>
          <w:szCs w:val="20"/>
        </w:rPr>
        <w:t>exceptions</w:t>
      </w:r>
      <w:r>
        <w:rPr>
          <w:rFonts w:ascii="Times New Roman" w:hAnsi="Times New Roman" w:cs="Times New Roman"/>
          <w:snapToGrid w:val="0"/>
          <w:sz w:val="20"/>
          <w:szCs w:val="20"/>
        </w:rPr>
        <w:t xml:space="preserve"> to </w:t>
      </w:r>
      <w:r>
        <w:rPr>
          <w:rFonts w:ascii="Times New Roman" w:hAnsi="Times New Roman" w:cs="Times New Roman"/>
          <w:i/>
          <w:snapToGrid w:val="0"/>
          <w:sz w:val="20"/>
          <w:szCs w:val="20"/>
        </w:rPr>
        <w:t>and limitations</w:t>
      </w:r>
      <w:r>
        <w:rPr>
          <w:rFonts w:ascii="Times New Roman" w:hAnsi="Times New Roman" w:cs="Times New Roman"/>
          <w:snapToGrid w:val="0"/>
          <w:sz w:val="20"/>
          <w:szCs w:val="20"/>
        </w:rPr>
        <w:t xml:space="preserve"> on them).  For example, if the concept of </w:t>
      </w:r>
      <w:r>
        <w:rPr>
          <w:rFonts w:ascii="Times New Roman" w:hAnsi="Times New Roman" w:cs="Times New Roman"/>
          <w:i/>
          <w:snapToGrid w:val="0"/>
          <w:sz w:val="20"/>
          <w:szCs w:val="20"/>
        </w:rPr>
        <w:t>broadcasting</w:t>
      </w:r>
      <w:r>
        <w:rPr>
          <w:rFonts w:ascii="Times New Roman" w:hAnsi="Times New Roman" w:cs="Times New Roman"/>
          <w:snapToGrid w:val="0"/>
          <w:sz w:val="20"/>
          <w:szCs w:val="20"/>
        </w:rPr>
        <w:t xml:space="preserve"> is extended also to </w:t>
      </w:r>
      <w:r>
        <w:rPr>
          <w:rFonts w:ascii="Times New Roman" w:hAnsi="Times New Roman" w:cs="Times New Roman"/>
          <w:i/>
          <w:snapToGrid w:val="0"/>
          <w:sz w:val="20"/>
          <w:szCs w:val="20"/>
        </w:rPr>
        <w:t>communication to the public</w:t>
      </w:r>
      <w:r>
        <w:rPr>
          <w:rFonts w:ascii="Times New Roman" w:hAnsi="Times New Roman" w:cs="Times New Roman"/>
          <w:snapToGrid w:val="0"/>
          <w:sz w:val="20"/>
          <w:szCs w:val="20"/>
        </w:rPr>
        <w:t xml:space="preserve"> and even to (interactive) </w:t>
      </w:r>
      <w:r>
        <w:rPr>
          <w:rFonts w:ascii="Times New Roman" w:hAnsi="Times New Roman" w:cs="Times New Roman"/>
          <w:i/>
          <w:snapToGrid w:val="0"/>
          <w:sz w:val="20"/>
          <w:szCs w:val="20"/>
        </w:rPr>
        <w:t>making available to the public</w:t>
      </w:r>
      <w:r>
        <w:rPr>
          <w:rFonts w:ascii="Times New Roman" w:hAnsi="Times New Roman" w:cs="Times New Roman"/>
          <w:snapToGrid w:val="0"/>
          <w:sz w:val="20"/>
          <w:szCs w:val="20"/>
        </w:rPr>
        <w:t xml:space="preserve">, this does not authorize the legislators of the country concerned to extend the </w:t>
      </w:r>
      <w:r>
        <w:rPr>
          <w:rFonts w:ascii="Times New Roman" w:hAnsi="Times New Roman" w:cs="Times New Roman"/>
          <w:i/>
          <w:snapToGrid w:val="0"/>
          <w:sz w:val="20"/>
          <w:szCs w:val="20"/>
        </w:rPr>
        <w:t>limitations</w:t>
      </w:r>
      <w:r>
        <w:rPr>
          <w:rFonts w:ascii="Times New Roman" w:hAnsi="Times New Roman" w:cs="Times New Roman"/>
          <w:snapToGrid w:val="0"/>
          <w:sz w:val="20"/>
          <w:szCs w:val="20"/>
        </w:rPr>
        <w:t xml:space="preserve"> allowed in Article 11</w:t>
      </w:r>
      <w:r>
        <w:rPr>
          <w:rFonts w:ascii="Times New Roman" w:hAnsi="Times New Roman" w:cs="Times New Roman"/>
          <w:i/>
          <w:snapToGrid w:val="0"/>
          <w:sz w:val="20"/>
          <w:szCs w:val="20"/>
        </w:rPr>
        <w:t>bis</w:t>
      </w:r>
      <w:r>
        <w:rPr>
          <w:rFonts w:ascii="Times New Roman" w:hAnsi="Times New Roman" w:cs="Times New Roman"/>
          <w:snapToGrid w:val="0"/>
          <w:sz w:val="20"/>
          <w:szCs w:val="20"/>
        </w:rPr>
        <w:t xml:space="preserve">(2) of the </w:t>
      </w:r>
      <w:r>
        <w:rPr>
          <w:rFonts w:ascii="Times New Roman" w:hAnsi="Times New Roman" w:cs="Times New Roman"/>
          <w:i/>
          <w:snapToGrid w:val="0"/>
          <w:sz w:val="20"/>
          <w:szCs w:val="20"/>
        </w:rPr>
        <w:t>Berne Convention</w:t>
      </w:r>
      <w:r>
        <w:rPr>
          <w:rFonts w:ascii="Times New Roman" w:hAnsi="Times New Roman" w:cs="Times New Roman"/>
          <w:snapToGrid w:val="0"/>
          <w:sz w:val="20"/>
          <w:szCs w:val="20"/>
        </w:rPr>
        <w:t xml:space="preserve"> (</w:t>
      </w:r>
      <w:r>
        <w:rPr>
          <w:rFonts w:ascii="Times New Roman" w:hAnsi="Times New Roman" w:cs="Times New Roman"/>
          <w:i/>
          <w:snapToGrid w:val="0"/>
          <w:sz w:val="20"/>
          <w:szCs w:val="20"/>
        </w:rPr>
        <w:t>non-voluntary licenses</w:t>
      </w:r>
      <w:r>
        <w:rPr>
          <w:rFonts w:ascii="Times New Roman" w:hAnsi="Times New Roman" w:cs="Times New Roman"/>
          <w:snapToGrid w:val="0"/>
          <w:sz w:val="20"/>
          <w:szCs w:val="20"/>
        </w:rPr>
        <w:t xml:space="preserve"> or </w:t>
      </w:r>
      <w:r>
        <w:rPr>
          <w:rFonts w:ascii="Times New Roman" w:hAnsi="Times New Roman" w:cs="Times New Roman"/>
          <w:i/>
          <w:snapToGrid w:val="0"/>
          <w:sz w:val="20"/>
          <w:szCs w:val="20"/>
        </w:rPr>
        <w:t>obligatory collective management</w:t>
      </w:r>
      <w:r>
        <w:rPr>
          <w:rFonts w:ascii="Times New Roman" w:hAnsi="Times New Roman" w:cs="Times New Roman"/>
          <w:snapToGrid w:val="0"/>
          <w:sz w:val="20"/>
          <w:szCs w:val="20"/>
        </w:rPr>
        <w:t xml:space="preserve">) beyond the scope of the </w:t>
      </w:r>
      <w:r>
        <w:rPr>
          <w:rFonts w:ascii="Times New Roman" w:hAnsi="Times New Roman" w:cs="Times New Roman"/>
          <w:i/>
          <w:snapToGrid w:val="0"/>
          <w:sz w:val="20"/>
          <w:szCs w:val="20"/>
        </w:rPr>
        <w:t>right of broadcasting</w:t>
      </w:r>
      <w:r>
        <w:rPr>
          <w:rFonts w:ascii="Times New Roman" w:hAnsi="Times New Roman" w:cs="Times New Roman"/>
          <w:snapToGrid w:val="0"/>
          <w:sz w:val="20"/>
          <w:szCs w:val="20"/>
        </w:rPr>
        <w:t xml:space="preserve"> determined in the </w:t>
      </w:r>
      <w:r>
        <w:rPr>
          <w:rFonts w:ascii="Times New Roman" w:hAnsi="Times New Roman" w:cs="Times New Roman"/>
          <w:i/>
          <w:snapToGrid w:val="0"/>
          <w:sz w:val="20"/>
          <w:szCs w:val="20"/>
        </w:rPr>
        <w:t>Berne Convention</w:t>
      </w:r>
      <w:r>
        <w:rPr>
          <w:rFonts w:ascii="Times New Roman" w:hAnsi="Times New Roman" w:cs="Times New Roman"/>
          <w:snapToGrid w:val="0"/>
          <w:sz w:val="20"/>
          <w:szCs w:val="20"/>
        </w:rPr>
        <w:t xml:space="preserve"> (in its Article 11</w:t>
      </w:r>
      <w:r>
        <w:rPr>
          <w:rFonts w:ascii="Times New Roman" w:hAnsi="Times New Roman" w:cs="Times New Roman"/>
          <w:i/>
          <w:snapToGrid w:val="0"/>
          <w:sz w:val="20"/>
          <w:szCs w:val="20"/>
        </w:rPr>
        <w:t>bis</w:t>
      </w:r>
      <w:r>
        <w:rPr>
          <w:rFonts w:ascii="Times New Roman" w:hAnsi="Times New Roman" w:cs="Times New Roman"/>
          <w:snapToGrid w:val="0"/>
          <w:sz w:val="20"/>
          <w:szCs w:val="20"/>
        </w:rPr>
        <w:t xml:space="preserve">(1)[…]. </w:t>
      </w:r>
      <w:r>
        <w:rPr>
          <w:rFonts w:ascii="Times New Roman" w:hAnsi="Times New Roman" w:cs="Times New Roman"/>
          <w:sz w:val="20"/>
          <w:szCs w:val="20"/>
        </w:rPr>
        <w:t xml:space="preserve"> (Mihály Ficsor “</w:t>
      </w:r>
      <w:r w:rsidRPr="00D91783">
        <w:rPr>
          <w:rFonts w:ascii="Times New Roman" w:hAnsi="Times New Roman" w:cs="Times New Roman"/>
          <w:i/>
          <w:sz w:val="20"/>
          <w:szCs w:val="20"/>
        </w:rPr>
        <w:t>Guide to the Copyright and Related Rights Treaties Administered by WIPO and Glossary of the Copyright and Related Rights Terms</w:t>
      </w:r>
      <w:r>
        <w:rPr>
          <w:rFonts w:ascii="Times New Roman" w:hAnsi="Times New Roman" w:cs="Times New Roman"/>
          <w:sz w:val="20"/>
          <w:szCs w:val="20"/>
        </w:rPr>
        <w:t xml:space="preserve">”, WIPO publication No. 891(E), (hereinafter: </w:t>
      </w:r>
      <w:r w:rsidRPr="00D91783">
        <w:rPr>
          <w:rFonts w:ascii="Times New Roman" w:hAnsi="Times New Roman" w:cs="Times New Roman"/>
          <w:sz w:val="20"/>
          <w:szCs w:val="20"/>
        </w:rPr>
        <w:t>WIPO Guide and Glossary</w:t>
      </w:r>
      <w:r>
        <w:rPr>
          <w:rFonts w:ascii="Times New Roman" w:hAnsi="Times New Roman" w:cs="Times New Roman"/>
          <w:sz w:val="20"/>
          <w:szCs w:val="20"/>
        </w:rPr>
        <w:t xml:space="preserve">), p. 294.) </w:t>
      </w:r>
    </w:p>
    <w:p w:rsidR="00494D93" w:rsidRPr="00D91783" w:rsidRDefault="00D91783" w:rsidP="00494D93">
      <w:pPr>
        <w:pStyle w:val="Lbjegyzetszveg"/>
        <w:jc w:val="both"/>
        <w:rPr>
          <w:rStyle w:val="AlcmChar"/>
          <w:rFonts w:ascii="Times New Roman" w:eastAsiaTheme="minorEastAsia" w:hAnsi="Times New Roman"/>
          <w:sz w:val="20"/>
          <w:szCs w:val="20"/>
        </w:rPr>
      </w:pPr>
      <w:r>
        <w:rPr>
          <w:rStyle w:val="AlcmChar"/>
          <w:rFonts w:ascii="Times New Roman" w:eastAsiaTheme="minorEastAsia" w:hAnsi="Times New Roman"/>
          <w:lang w:val="hu-HU"/>
        </w:rPr>
        <w:t xml:space="preserve">   </w:t>
      </w:r>
      <w:r w:rsidR="00494D93" w:rsidRPr="00D91783">
        <w:rPr>
          <w:rStyle w:val="AlcmChar"/>
          <w:rFonts w:ascii="Times New Roman" w:eastAsiaTheme="minorEastAsia" w:hAnsi="Times New Roman"/>
          <w:sz w:val="20"/>
          <w:szCs w:val="20"/>
        </w:rPr>
        <w:t xml:space="preserve">It is submitted that this principle equally applies not only to the legal characterization of acts covered by copyright and related rights and the exceptions to and limitations of the rights but also to the legal characterization of the subject matter of rights. </w:t>
      </w:r>
    </w:p>
    <w:p w:rsidR="00494D93" w:rsidRDefault="00494D93" w:rsidP="00494D93">
      <w:pPr>
        <w:pStyle w:val="Style1"/>
        <w:widowControl/>
        <w:ind w:firstLine="142"/>
        <w:jc w:val="both"/>
        <w:rPr>
          <w:rFonts w:eastAsiaTheme="minorHAnsi"/>
          <w:sz w:val="20"/>
          <w:szCs w:val="20"/>
          <w:lang w:eastAsia="en-US"/>
        </w:rPr>
      </w:pPr>
      <w:r>
        <w:rPr>
          <w:rStyle w:val="AlcmChar"/>
          <w:rFonts w:ascii="Times New Roman" w:eastAsiaTheme="minorEastAsia" w:hAnsi="Times New Roman"/>
          <w:sz w:val="20"/>
          <w:szCs w:val="20"/>
          <w:lang w:val="en-US"/>
        </w:rPr>
        <w:t xml:space="preserve">“Phonogram” is determined in Article 2(b) of the WPPT in this way: </w:t>
      </w:r>
      <w:r>
        <w:rPr>
          <w:rFonts w:ascii="Times New Roman" w:hAnsi="Times New Roman" w:cs="Times New Roman"/>
          <w:sz w:val="20"/>
          <w:szCs w:val="20"/>
          <w:lang w:val="en-US"/>
        </w:rPr>
        <w:t>“(b) ‘phonogram’ means the fixation of the sounds of a performance or other sounds, or of a representation of sounds, other than in the form of a fixation incorporated in a cinematographic or other audiovisual work.” The Rental, Lending and Related Rights Directive does not contain a definition of “phonogram”. At the time of its adoption in 1991, certainly the definition in Article 3(b) of the Rome Convention was taken into account which was simpler but, in key aspects, it was the same as the definition in the WPPT:  “</w:t>
      </w:r>
      <w:r>
        <w:rPr>
          <w:rFonts w:ascii="Times New Roman" w:hAnsi="Times New Roman" w:cs="Times New Roman"/>
          <w:snapToGrid w:val="0"/>
          <w:color w:val="000000"/>
          <w:sz w:val="20"/>
          <w:szCs w:val="20"/>
        </w:rPr>
        <w:t>(b)  ’phonogram’ means any exclusively aural fixation of sounds of a performance or of other sounds”. Although the</w:t>
      </w:r>
      <w:r>
        <w:rPr>
          <w:rFonts w:ascii="Times New Roman" w:eastAsiaTheme="minorHAnsi" w:hAnsi="Times New Roman" w:cs="Times New Roman"/>
          <w:sz w:val="20"/>
          <w:szCs w:val="20"/>
          <w:lang w:val="en-US" w:eastAsia="en-US"/>
        </w:rPr>
        <w:t xml:space="preserve"> the European Union is not party to the Rome Convention, it is a Contracting Party to the WPPT; thus, it is hardly questionable that this definition as provided in Article 2(b) of the Treaty is applicable in the E.U. and in its Member States. </w:t>
      </w:r>
    </w:p>
    <w:p w:rsidR="00494D93" w:rsidRDefault="00494D93" w:rsidP="00494D93">
      <w:pPr>
        <w:pStyle w:val="Style1"/>
        <w:widowControl/>
        <w:ind w:firstLine="142"/>
        <w:jc w:val="both"/>
        <w:rPr>
          <w:rFonts w:ascii="Times New Roman" w:eastAsia="Times New Roman" w:hAnsi="Times New Roman" w:cs="Times New Roman"/>
          <w:sz w:val="20"/>
          <w:szCs w:val="20"/>
          <w:lang w:val="en-US"/>
        </w:rPr>
      </w:pPr>
      <w:r>
        <w:rPr>
          <w:rFonts w:ascii="Times New Roman" w:eastAsiaTheme="minorHAnsi" w:hAnsi="Times New Roman" w:cs="Times New Roman"/>
          <w:sz w:val="20"/>
          <w:szCs w:val="20"/>
          <w:lang w:val="en-US" w:eastAsia="en-US"/>
        </w:rPr>
        <w:t xml:space="preserve"> In section 2(1) of the CRRA, “sound recording” is defined in this way: “’</w:t>
      </w:r>
      <w:r>
        <w:rPr>
          <w:rFonts w:ascii="Times New Roman" w:eastAsia="Times New Roman" w:hAnsi="Times New Roman" w:cs="Times New Roman"/>
          <w:sz w:val="20"/>
          <w:szCs w:val="20"/>
          <w:lang w:val="en-US"/>
        </w:rPr>
        <w:t xml:space="preserve">sound recording’ means a fixation of sounds, or of the representations thereof, from which the sounds are capable of being reproduced, regardless of the medium on which the recording is made, or the method by which the sounds are reproduced.” One element is missing in the definition due to which it may not be regarded to be in full accordance with the Rome and WPPT definitions; namely, it is not sufficiently clearly clarified that it is an </w:t>
      </w:r>
      <w:r>
        <w:rPr>
          <w:rFonts w:ascii="Times New Roman" w:eastAsia="Times New Roman" w:hAnsi="Times New Roman" w:cs="Times New Roman"/>
          <w:i/>
          <w:sz w:val="20"/>
          <w:szCs w:val="20"/>
          <w:lang w:val="en-US"/>
        </w:rPr>
        <w:t>exclusively aural</w:t>
      </w:r>
      <w:r>
        <w:rPr>
          <w:rFonts w:ascii="Times New Roman" w:eastAsia="Times New Roman" w:hAnsi="Times New Roman" w:cs="Times New Roman"/>
          <w:sz w:val="20"/>
          <w:szCs w:val="20"/>
          <w:lang w:val="en-US"/>
        </w:rPr>
        <w:t xml:space="preserve"> fixation. This, however, hardly creates a substantive delimitation problem in the given context; if any question emerged in this respect, it could be easily settled through appropriate interpretation of the provisions. </w:t>
      </w:r>
    </w:p>
    <w:p w:rsidR="00494D93" w:rsidRDefault="00494D93" w:rsidP="00D91783">
      <w:pPr>
        <w:pStyle w:val="Style1"/>
        <w:widowControl/>
        <w:ind w:firstLine="142"/>
        <w:jc w:val="both"/>
        <w:rPr>
          <w:rFonts w:ascii="Times New Roman" w:hAnsi="Times New Roman" w:cs="Times New Roman"/>
        </w:rPr>
      </w:pPr>
      <w:r>
        <w:rPr>
          <w:rFonts w:ascii="Times New Roman" w:eastAsia="Times New Roman" w:hAnsi="Times New Roman" w:cs="Times New Roman"/>
          <w:sz w:val="20"/>
          <w:szCs w:val="20"/>
          <w:lang w:val="en-US"/>
        </w:rPr>
        <w:t xml:space="preserve"> Having clarified this, it may be found that the CRRA definition in essence corresponds to the definition in Article 2(b) of the WPPT. It is about the same subject matter of intellectual property rights. In fact </w:t>
      </w:r>
      <w:r w:rsidR="00D91783">
        <w:rPr>
          <w:rFonts w:ascii="Times New Roman" w:eastAsia="Times New Roman" w:hAnsi="Times New Roman" w:cs="Times New Roman"/>
          <w:sz w:val="20"/>
          <w:szCs w:val="20"/>
          <w:lang w:val="en-US"/>
        </w:rPr>
        <w:t xml:space="preserve">the </w:t>
      </w:r>
      <w:r>
        <w:rPr>
          <w:rFonts w:ascii="Times New Roman" w:eastAsia="Times New Roman" w:hAnsi="Times New Roman" w:cs="Times New Roman"/>
          <w:sz w:val="20"/>
          <w:szCs w:val="20"/>
          <w:lang w:val="en-US"/>
        </w:rPr>
        <w:t xml:space="preserve">term “sound recording” is the same in English as the Greek-rooted term “phonogram”: “phono”= sound + “gram” = writing, recording”. Therefore, there is no doubt that the provisions of the Irish law on “sound recordings” would have to be in accordance with the provisions on the protection of “phonograms” under the EU law and the relevant international norms. The characterization of sound recordings/phonograms as subject matter of copyright rather than subject matter of related rights in itself would not create a conflict with the international and EU norms. It would not be a problem either if more rights were granted to the producers (from the viewpoint of the international norms certainly not and, from the viewpoint of the EU law, there would not be either if the same extra rights were granted also to the national of the other EU Member States). However, the different legal characterization must not result in the denial or in an inappropriate limitation of a right to be granted under the EU law. Unfortunately, in Ireland, the characterization of the rights of producers of phonograms as “copyright” in contrast with the rights of performers embodied in phonograms seems to result in conflicts with the chance of exercising the rights of performers through their organization represented them as discussed under this title. </w:t>
      </w:r>
    </w:p>
  </w:footnote>
  <w:footnote w:id="8">
    <w:p w:rsidR="00494D93" w:rsidRPr="00D91783" w:rsidRDefault="00494D93" w:rsidP="00494D93">
      <w:pPr>
        <w:pStyle w:val="Lbjegyzetszveg"/>
        <w:rPr>
          <w:rFonts w:ascii="Times New Roman" w:hAnsi="Times New Roman" w:cs="Times New Roman"/>
        </w:rPr>
      </w:pPr>
      <w:r w:rsidRPr="00D91783">
        <w:rPr>
          <w:rStyle w:val="Lbjegyzet-hivatkozs"/>
          <w:rFonts w:ascii="Times New Roman" w:hAnsi="Times New Roman" w:cs="Times New Roman"/>
        </w:rPr>
        <w:footnoteRef/>
      </w:r>
      <w:r w:rsidRPr="00D91783">
        <w:rPr>
          <w:rFonts w:ascii="Times New Roman" w:hAnsi="Times New Roman" w:cs="Times New Roman"/>
        </w:rPr>
        <w:t xml:space="preserve"> Order No. </w:t>
      </w:r>
      <w:r w:rsidRPr="00D91783">
        <w:rPr>
          <w:rStyle w:val="AlcmChar"/>
          <w:rFonts w:ascii="Times New Roman" w:eastAsiaTheme="minorEastAsia" w:hAnsi="Times New Roman"/>
          <w:sz w:val="20"/>
          <w:szCs w:val="20"/>
        </w:rPr>
        <w:t>P/21/03/0004/.</w:t>
      </w:r>
    </w:p>
  </w:footnote>
  <w:footnote w:id="9">
    <w:p w:rsidR="00494D93" w:rsidRDefault="00494D93" w:rsidP="00494D93">
      <w:pPr>
        <w:pStyle w:val="Style1"/>
        <w:widowControl/>
        <w:tabs>
          <w:tab w:val="left" w:pos="0"/>
        </w:tabs>
        <w:jc w:val="both"/>
        <w:rPr>
          <w:rFonts w:ascii="Times New Roman" w:hAnsi="Times New Roman" w:cs="Times New Roman"/>
          <w:sz w:val="20"/>
          <w:szCs w:val="20"/>
          <w:lang w:val="en-AU" w:eastAsia="ar-SA" w:bidi="en-US"/>
        </w:rPr>
      </w:pPr>
      <w:r>
        <w:rPr>
          <w:rStyle w:val="Lbjegyzet-hivatkozs"/>
          <w:lang w:val="en-AU"/>
        </w:rPr>
        <w:footnoteRef/>
      </w:r>
      <w:r>
        <w:rPr>
          <w:lang w:val="en-AU"/>
        </w:rPr>
        <w:t xml:space="preserve"> </w:t>
      </w:r>
      <w:r>
        <w:rPr>
          <w:rFonts w:ascii="Times New Roman" w:hAnsi="Times New Roman" w:cs="Times New Roman"/>
          <w:sz w:val="20"/>
          <w:szCs w:val="20"/>
          <w:lang w:val="en-AU"/>
        </w:rPr>
        <w:t>The erosion of the competences of RAAP by PPI was taking place as follows:</w:t>
      </w:r>
    </w:p>
    <w:p w:rsidR="00494D93" w:rsidRDefault="00494D93" w:rsidP="00494D93">
      <w:pPr>
        <w:pStyle w:val="Style1"/>
        <w:widowControl/>
        <w:numPr>
          <w:ilvl w:val="0"/>
          <w:numId w:val="2"/>
        </w:numPr>
        <w:tabs>
          <w:tab w:val="left" w:pos="567"/>
        </w:tabs>
        <w:ind w:left="284" w:firstLine="0"/>
        <w:jc w:val="both"/>
        <w:rPr>
          <w:rStyle w:val="AlcmChar"/>
          <w:rFonts w:ascii="Times New Roman" w:eastAsiaTheme="minorEastAsia" w:hAnsi="Times New Roman"/>
          <w:sz w:val="20"/>
          <w:szCs w:val="20"/>
          <w:lang w:val="en-US"/>
        </w:rPr>
      </w:pPr>
      <w:r>
        <w:rPr>
          <w:rStyle w:val="AlcmChar"/>
          <w:rFonts w:ascii="Times New Roman" w:eastAsiaTheme="minorEastAsia" w:hAnsi="Times New Roman"/>
          <w:sz w:val="20"/>
          <w:szCs w:val="20"/>
          <w:lang w:val="en-US"/>
        </w:rPr>
        <w:t xml:space="preserve">Originally, there was an agreement between the two CMOs under which PPI was to transfer 50% of the equitable remuneration (after the deduction of the costs) to RAAP for distribution among its members. However, PPI developed the theory that, although it had the right to collect remuneration for the use of phonograms published for commercial purposes, it was only obligated to transfer to RAAP the share for the use of “qualified performances” and to keep the rest (which then it considered to be transferable to the producers of “qualified sound recording” as copyright owners).   </w:t>
      </w:r>
    </w:p>
    <w:p w:rsidR="00494D93" w:rsidRDefault="00494D93" w:rsidP="00494D93">
      <w:pPr>
        <w:pStyle w:val="Alcm"/>
        <w:widowControl/>
        <w:numPr>
          <w:ilvl w:val="0"/>
          <w:numId w:val="3"/>
        </w:numPr>
        <w:tabs>
          <w:tab w:val="left" w:pos="426"/>
        </w:tabs>
        <w:autoSpaceDE/>
        <w:spacing w:after="0"/>
        <w:ind w:left="284" w:firstLine="0"/>
        <w:jc w:val="both"/>
        <w:rPr>
          <w:rStyle w:val="AlcmChar"/>
          <w:rFonts w:ascii="Times New Roman" w:hAnsi="Times New Roman"/>
          <w:sz w:val="20"/>
          <w:szCs w:val="20"/>
          <w:lang w:val="en-US"/>
        </w:rPr>
      </w:pPr>
      <w:r>
        <w:rPr>
          <w:rStyle w:val="AlcmChar"/>
          <w:rFonts w:ascii="Times New Roman" w:hAnsi="Times New Roman"/>
          <w:sz w:val="20"/>
          <w:szCs w:val="20"/>
          <w:lang w:val="en-US"/>
        </w:rPr>
        <w:t>PPI outsourced the collection of its non-broadcasting revenues to IMRO (the Irish musical performing rights CMO) in 2016. Although the arrangement covered collecting on behalf of performers as well as producers, and although RAAP bore 50% of the costs of the arrangement, PPI refused to give RAAP information as to the nature and contents of the agreement on the grounds of "commercial sensitivity</w:t>
      </w:r>
      <w:r>
        <w:rPr>
          <w:rStyle w:val="AlcmChar"/>
          <w:rFonts w:ascii="Times New Roman" w:hAnsi="Times New Roman"/>
          <w:i/>
          <w:sz w:val="20"/>
          <w:szCs w:val="20"/>
          <w:lang w:val="en-US"/>
        </w:rPr>
        <w:t>"</w:t>
      </w:r>
      <w:r>
        <w:rPr>
          <w:rStyle w:val="AlcmChar"/>
          <w:rFonts w:ascii="Times New Roman" w:hAnsi="Times New Roman"/>
          <w:sz w:val="20"/>
          <w:szCs w:val="20"/>
          <w:lang w:val="en-US"/>
        </w:rPr>
        <w:t xml:space="preserve">. </w:t>
      </w:r>
    </w:p>
    <w:p w:rsidR="00494D93" w:rsidRDefault="00494D93" w:rsidP="00494D93">
      <w:pPr>
        <w:pStyle w:val="Alcm"/>
        <w:spacing w:after="0"/>
        <w:ind w:left="284"/>
        <w:jc w:val="both"/>
        <w:rPr>
          <w:rStyle w:val="AlcmChar"/>
          <w:rFonts w:ascii="Times New Roman" w:hAnsi="Times New Roman"/>
          <w:sz w:val="20"/>
          <w:szCs w:val="20"/>
          <w:lang w:val="en-US"/>
        </w:rPr>
      </w:pPr>
      <w:r>
        <w:rPr>
          <w:rStyle w:val="AlcmChar"/>
          <w:rFonts w:ascii="Times New Roman" w:hAnsi="Times New Roman"/>
          <w:sz w:val="20"/>
          <w:szCs w:val="20"/>
          <w:lang w:val="en-US"/>
        </w:rPr>
        <w:t xml:space="preserve">- Later, PPI adopted and applied an interpretation of the agreement according to which it required proof from the RAAP that it had “mandate” for the management of the rights of performers even in respect of “qualified performances” (that is, PPI refused the application of section 281 of the CRRA under which a CMO registered for the management of rights on behalf of a class of rightsowners  (in the given case, RAAP for the management of any performers), until the contrary is proved, has the right to act on behalf of any rightsowner in the given class.  </w:t>
      </w:r>
    </w:p>
    <w:p w:rsidR="00494D93" w:rsidRDefault="00494D93" w:rsidP="00494D93">
      <w:pPr>
        <w:pStyle w:val="Alcm"/>
        <w:spacing w:after="0"/>
        <w:ind w:left="284"/>
        <w:jc w:val="both"/>
        <w:rPr>
          <w:rStyle w:val="FontStyle11"/>
          <w:rFonts w:ascii="Times New Roman" w:hAnsi="Times New Roman"/>
          <w:sz w:val="20"/>
          <w:szCs w:val="20"/>
        </w:rPr>
      </w:pPr>
      <w:r>
        <w:rPr>
          <w:rStyle w:val="AlcmChar"/>
          <w:rFonts w:ascii="Times New Roman" w:hAnsi="Times New Roman"/>
          <w:sz w:val="20"/>
          <w:szCs w:val="20"/>
          <w:lang w:val="en-US"/>
        </w:rPr>
        <w:t>- PPI has also outsourced the calculation of the performer’ share of the remuneration to PPL, a CMO in the United Kingdom managing both producers’ and performers’ rights.</w:t>
      </w:r>
      <w:r>
        <w:rPr>
          <w:rStyle w:val="FontStyle11"/>
          <w:rFonts w:ascii="Times New Roman" w:hAnsi="Times New Roman"/>
          <w:sz w:val="20"/>
          <w:szCs w:val="20"/>
          <w:lang w:val="en-US" w:eastAsia="en-US"/>
        </w:rPr>
        <w:t xml:space="preserve"> </w:t>
      </w:r>
      <w:r>
        <w:rPr>
          <w:rFonts w:ascii="Times New Roman" w:hAnsi="Times New Roman"/>
          <w:sz w:val="20"/>
          <w:szCs w:val="20"/>
          <w:lang w:val="en-US"/>
        </w:rPr>
        <w:t>Again PPI has refused to give RAAP information as to the basis for the arrangement with the PPL concerning the management of the rights of performers for which RAAP has been certified in Ireland</w:t>
      </w:r>
      <w:r>
        <w:rPr>
          <w:rStyle w:val="FontStyle11"/>
          <w:rFonts w:ascii="Times New Roman" w:hAnsi="Times New Roman"/>
          <w:sz w:val="20"/>
          <w:szCs w:val="20"/>
          <w:lang w:val="en-US"/>
        </w:rPr>
        <w:t>.</w:t>
      </w:r>
    </w:p>
    <w:p w:rsidR="00494D93" w:rsidRDefault="00494D93" w:rsidP="00F31F5E">
      <w:pPr>
        <w:pStyle w:val="Alcm"/>
        <w:spacing w:after="0"/>
        <w:ind w:left="284"/>
        <w:jc w:val="both"/>
        <w:rPr>
          <w:lang w:val="hu-HU"/>
        </w:rPr>
      </w:pPr>
      <w:r>
        <w:rPr>
          <w:rStyle w:val="AlcmChar"/>
          <w:rFonts w:ascii="Times New Roman" w:hAnsi="Times New Roman"/>
          <w:sz w:val="20"/>
          <w:szCs w:val="20"/>
          <w:lang w:val="en-US"/>
        </w:rPr>
        <w:t xml:space="preserve">- PPI did not even recognize the very right of RAAP to manage the rights of performers for the management of which it has been registered. Instead of RAAP, PPI began managing performers’ rights in nearly all relevant aspects of collective management, including individual distribution of the remuneration due to them, reducing in this way the role of RAAP to a post box and pay desk. It calculated, with the assistance of PPL, the amounts to be distributed to individual performers who were members of RAAP for “qualified performances” (only), and just transferred the amounts to RAAP simply to take care of the payment of the already distributed amounts to its members. </w:t>
      </w:r>
    </w:p>
  </w:footnote>
  <w:footnote w:id="10">
    <w:p w:rsidR="00494D93" w:rsidRDefault="00494D93" w:rsidP="00494D93">
      <w:pPr>
        <w:pStyle w:val="Lbjegyzetszveg"/>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lang w:val="hu-HU"/>
        </w:rPr>
        <w:t xml:space="preserve"> </w:t>
      </w:r>
      <w:r>
        <w:rPr>
          <w:rFonts w:ascii="Times New Roman" w:hAnsi="Times New Roman" w:cs="Times New Roman"/>
        </w:rPr>
        <w:t xml:space="preserve">High Court order [2019] No. 10801 P., para. 86. (hereinafter: High Court in RAAP v. PPI). </w:t>
      </w:r>
    </w:p>
  </w:footnote>
  <w:footnote w:id="11">
    <w:p w:rsidR="00494D93" w:rsidRDefault="00494D93" w:rsidP="00494D93">
      <w:pPr>
        <w:spacing w:after="0" w:line="240" w:lineRule="auto"/>
        <w:jc w:val="both"/>
        <w:rPr>
          <w:rFonts w:ascii="Times New Roman" w:hAnsi="Times New Roman" w:cs="Times New Roman"/>
        </w:rPr>
      </w:pPr>
      <w:r>
        <w:rPr>
          <w:rStyle w:val="Lbjegyzet-hivatkozs"/>
          <w:rFonts w:ascii="Times New Roman" w:hAnsi="Times New Roman" w:cs="Times New Roman"/>
          <w:sz w:val="20"/>
          <w:szCs w:val="20"/>
        </w:rPr>
        <w:footnoteRef/>
      </w:r>
      <w:r>
        <w:rPr>
          <w:rFonts w:ascii="Times New Roman" w:hAnsi="Times New Roman" w:cs="Times New Roman"/>
          <w:sz w:val="20"/>
          <w:szCs w:val="20"/>
        </w:rPr>
        <w:t xml:space="preserve"> Judgement of the </w:t>
      </w:r>
      <w:r>
        <w:rPr>
          <w:rFonts w:ascii="Times New Roman" w:hAnsi="Times New Roman" w:cs="Times New Roman"/>
          <w:w w:val="105"/>
          <w:sz w:val="20"/>
          <w:szCs w:val="20"/>
        </w:rPr>
        <w:t xml:space="preserve">Court of Appeal </w:t>
      </w:r>
      <w:r>
        <w:rPr>
          <w:rFonts w:ascii="Times New Roman" w:hAnsi="Times New Roman" w:cs="Times New Roman"/>
          <w:sz w:val="20"/>
          <w:szCs w:val="20"/>
        </w:rPr>
        <w:t xml:space="preserve">delivered on April 3, 2020 (Court of Appeal </w:t>
      </w:r>
      <w:r>
        <w:rPr>
          <w:rFonts w:ascii="Times New Roman" w:hAnsi="Times New Roman" w:cs="Times New Roman"/>
          <w:w w:val="105"/>
          <w:sz w:val="20"/>
          <w:szCs w:val="20"/>
        </w:rPr>
        <w:t xml:space="preserve">Record Number: 2019/22fi) (hereinafter: Court of Appeal in RAAP v. PPI). </w:t>
      </w:r>
    </w:p>
  </w:footnote>
  <w:footnote w:id="12">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Court of Appeal in RAAP v. PPI, paras 59 -60. </w:t>
      </w:r>
    </w:p>
  </w:footnote>
  <w:footnote w:id="13">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See </w:t>
      </w:r>
      <w:r>
        <w:rPr>
          <w:rFonts w:ascii="Times New Roman" w:hAnsi="Times New Roman" w:cs="Times New Roman"/>
        </w:rPr>
        <w:t xml:space="preserve">para. 5.11.14. </w:t>
      </w:r>
    </w:p>
  </w:footnote>
  <w:footnote w:id="14">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High Court in RAAP v. PPI, para. 62. </w:t>
      </w:r>
    </w:p>
  </w:footnote>
  <w:footnote w:id="15">
    <w:p w:rsidR="00494D93" w:rsidRDefault="00494D93" w:rsidP="00494D93">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Court of Appeal in RAAP v. PPI, para. 37. The Court of Appeal disagreed that assignment was necessary; it has found that only some form of contractual arrangement is sufficient (</w:t>
      </w:r>
      <w:r>
        <w:rPr>
          <w:rFonts w:ascii="Times New Roman" w:hAnsi="Times New Roman" w:cs="Times New Roman"/>
          <w:i/>
        </w:rPr>
        <w:t xml:space="preserve">see </w:t>
      </w:r>
      <w:r>
        <w:rPr>
          <w:rFonts w:ascii="Times New Roman" w:hAnsi="Times New Roman" w:cs="Times New Roman"/>
        </w:rPr>
        <w:t xml:space="preserve">para. 57 of the judgment).  </w:t>
      </w:r>
    </w:p>
  </w:footnote>
  <w:footnote w:id="16">
    <w:p w:rsidR="00494D93" w:rsidRDefault="00494D93" w:rsidP="00494D93">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Which has been transposed frequently in a verbatim manner, to the Irish law by the European Union (Collective Rights Management) (Directive 2014/267EU) Regulations 2016.</w:t>
      </w:r>
    </w:p>
  </w:footnote>
  <w:footnote w:id="17">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The Court, in para. 19, quotes, in particular, paragraphs (5) to (7) of section 280. However, in these provisions, there is nothing that might be relevant from the viewpoint of the question of applicability of a presumption-based system. Paragraph (5) reads as follows: “The</w:t>
      </w:r>
      <w:r>
        <w:rPr>
          <w:rFonts w:ascii="Times New Roman" w:hAnsi="Times New Roman" w:cs="Times New Roman"/>
          <w:spacing w:val="-17"/>
        </w:rPr>
        <w:t xml:space="preserve"> </w:t>
      </w:r>
      <w:r>
        <w:rPr>
          <w:rFonts w:ascii="Times New Roman" w:hAnsi="Times New Roman" w:cs="Times New Roman"/>
        </w:rPr>
        <w:t>Controller</w:t>
      </w:r>
      <w:r>
        <w:rPr>
          <w:rFonts w:ascii="Times New Roman" w:hAnsi="Times New Roman" w:cs="Times New Roman"/>
          <w:spacing w:val="-3"/>
        </w:rPr>
        <w:t xml:space="preserve"> </w:t>
      </w:r>
      <w:r>
        <w:rPr>
          <w:rFonts w:ascii="Times New Roman" w:hAnsi="Times New Roman" w:cs="Times New Roman"/>
        </w:rPr>
        <w:t>shall</w:t>
      </w:r>
      <w:r>
        <w:rPr>
          <w:rFonts w:ascii="Times New Roman" w:hAnsi="Times New Roman" w:cs="Times New Roman"/>
          <w:spacing w:val="-18"/>
        </w:rPr>
        <w:t xml:space="preserve"> </w:t>
      </w:r>
      <w:r>
        <w:rPr>
          <w:rFonts w:ascii="Times New Roman" w:hAnsi="Times New Roman" w:cs="Times New Roman"/>
        </w:rPr>
        <w:t>register</w:t>
      </w:r>
      <w:r>
        <w:rPr>
          <w:rFonts w:ascii="Times New Roman" w:hAnsi="Times New Roman" w:cs="Times New Roman"/>
          <w:spacing w:val="-14"/>
        </w:rPr>
        <w:t xml:space="preserve"> </w:t>
      </w:r>
      <w:r>
        <w:rPr>
          <w:rFonts w:ascii="Times New Roman" w:hAnsi="Times New Roman" w:cs="Times New Roman"/>
        </w:rPr>
        <w:t>an</w:t>
      </w:r>
      <w:r>
        <w:rPr>
          <w:rFonts w:ascii="Times New Roman" w:hAnsi="Times New Roman" w:cs="Times New Roman"/>
          <w:spacing w:val="-26"/>
        </w:rPr>
        <w:t xml:space="preserve"> </w:t>
      </w:r>
      <w:r>
        <w:rPr>
          <w:rFonts w:ascii="Times New Roman" w:hAnsi="Times New Roman" w:cs="Times New Roman"/>
        </w:rPr>
        <w:t>applicant</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14"/>
        </w:rPr>
        <w:t xml:space="preserve"> </w:t>
      </w:r>
      <w:r>
        <w:rPr>
          <w:rFonts w:ascii="Times New Roman" w:hAnsi="Times New Roman" w:cs="Times New Roman"/>
        </w:rPr>
        <w:t>renew</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29"/>
        </w:rPr>
        <w:t xml:space="preserve"> </w:t>
      </w:r>
      <w:r>
        <w:rPr>
          <w:rFonts w:ascii="Times New Roman" w:hAnsi="Times New Roman" w:cs="Times New Roman"/>
        </w:rPr>
        <w:t>registration</w:t>
      </w:r>
      <w:r>
        <w:rPr>
          <w:rFonts w:ascii="Times New Roman" w:hAnsi="Times New Roman" w:cs="Times New Roman"/>
          <w:spacing w:val="-11"/>
        </w:rPr>
        <w:t xml:space="preserve"> </w:t>
      </w:r>
      <w:r>
        <w:rPr>
          <w:rFonts w:ascii="Times New Roman" w:hAnsi="Times New Roman" w:cs="Times New Roman"/>
        </w:rPr>
        <w:t>where</w:t>
      </w:r>
      <w:r>
        <w:rPr>
          <w:rFonts w:ascii="Times New Roman" w:hAnsi="Times New Roman" w:cs="Times New Roman"/>
          <w:spacing w:val="-16"/>
        </w:rPr>
        <w:t xml:space="preserve"> </w:t>
      </w:r>
      <w:r>
        <w:rPr>
          <w:rFonts w:ascii="Times New Roman" w:hAnsi="Times New Roman" w:cs="Times New Roman"/>
        </w:rPr>
        <w:t>the Controller is satisfied</w:t>
      </w:r>
      <w:r>
        <w:rPr>
          <w:rFonts w:ascii="Times New Roman" w:hAnsi="Times New Roman" w:cs="Times New Roman"/>
          <w:spacing w:val="-10"/>
        </w:rPr>
        <w:t xml:space="preserve"> </w:t>
      </w:r>
      <w:r>
        <w:rPr>
          <w:rFonts w:ascii="Times New Roman" w:hAnsi="Times New Roman" w:cs="Times New Roman"/>
        </w:rPr>
        <w:t>that (a) the</w:t>
      </w:r>
      <w:r>
        <w:rPr>
          <w:rFonts w:ascii="Times New Roman" w:hAnsi="Times New Roman" w:cs="Times New Roman"/>
          <w:spacing w:val="-17"/>
        </w:rPr>
        <w:t xml:space="preserve"> </w:t>
      </w:r>
      <w:r>
        <w:rPr>
          <w:rFonts w:ascii="Times New Roman" w:hAnsi="Times New Roman" w:cs="Times New Roman"/>
        </w:rPr>
        <w:t>applicant</w:t>
      </w:r>
      <w:r>
        <w:rPr>
          <w:rFonts w:ascii="Times New Roman" w:hAnsi="Times New Roman" w:cs="Times New Roman"/>
          <w:spacing w:val="-12"/>
        </w:rPr>
        <w:t xml:space="preserve"> </w:t>
      </w:r>
      <w:r>
        <w:rPr>
          <w:rFonts w:ascii="Times New Roman" w:hAnsi="Times New Roman" w:cs="Times New Roman"/>
        </w:rPr>
        <w:t>comes</w:t>
      </w:r>
      <w:r>
        <w:rPr>
          <w:rFonts w:ascii="Times New Roman" w:hAnsi="Times New Roman" w:cs="Times New Roman"/>
          <w:spacing w:val="-15"/>
        </w:rPr>
        <w:t xml:space="preserve"> </w:t>
      </w:r>
      <w:r>
        <w:rPr>
          <w:rFonts w:ascii="Times New Roman" w:hAnsi="Times New Roman" w:cs="Times New Roman"/>
        </w:rPr>
        <w:t>within</w:t>
      </w:r>
      <w:r>
        <w:rPr>
          <w:rFonts w:ascii="Times New Roman" w:hAnsi="Times New Roman" w:cs="Times New Roman"/>
          <w:spacing w:val="-26"/>
        </w:rPr>
        <w:t xml:space="preserve"> </w:t>
      </w:r>
      <w:r>
        <w:rPr>
          <w:rFonts w:ascii="Times New Roman" w:hAnsi="Times New Roman" w:cs="Times New Roman"/>
        </w:rPr>
        <w:t>the</w:t>
      </w:r>
      <w:r>
        <w:rPr>
          <w:rFonts w:ascii="Times New Roman" w:hAnsi="Times New Roman" w:cs="Times New Roman"/>
          <w:spacing w:val="-17"/>
        </w:rPr>
        <w:t xml:space="preserve"> </w:t>
      </w:r>
      <w:r>
        <w:rPr>
          <w:rFonts w:ascii="Times New Roman" w:hAnsi="Times New Roman" w:cs="Times New Roman"/>
        </w:rPr>
        <w:t>definition</w:t>
      </w:r>
      <w:r>
        <w:rPr>
          <w:rFonts w:ascii="Times New Roman" w:hAnsi="Times New Roman" w:cs="Times New Roman"/>
          <w:spacing w:val="-16"/>
        </w:rPr>
        <w:t xml:space="preserve"> </w:t>
      </w:r>
      <w:r>
        <w:rPr>
          <w:rFonts w:ascii="Times New Roman" w:hAnsi="Times New Roman" w:cs="Times New Roman"/>
        </w:rPr>
        <w:t>of a</w:t>
      </w:r>
      <w:r>
        <w:rPr>
          <w:rFonts w:ascii="Times New Roman" w:hAnsi="Times New Roman" w:cs="Times New Roman"/>
          <w:spacing w:val="19"/>
        </w:rPr>
        <w:t xml:space="preserve"> </w:t>
      </w:r>
      <w:r>
        <w:rPr>
          <w:rFonts w:ascii="Times New Roman" w:hAnsi="Times New Roman" w:cs="Times New Roman"/>
        </w:rPr>
        <w:t>licensing</w:t>
      </w:r>
      <w:r>
        <w:rPr>
          <w:rFonts w:ascii="Times New Roman" w:hAnsi="Times New Roman" w:cs="Times New Roman"/>
          <w:spacing w:val="-20"/>
        </w:rPr>
        <w:t xml:space="preserve"> </w:t>
      </w:r>
      <w:r>
        <w:rPr>
          <w:rFonts w:ascii="Times New Roman" w:hAnsi="Times New Roman" w:cs="Times New Roman"/>
        </w:rPr>
        <w:t>body</w:t>
      </w:r>
      <w:r>
        <w:rPr>
          <w:rFonts w:ascii="Times New Roman" w:hAnsi="Times New Roman" w:cs="Times New Roman"/>
          <w:spacing w:val="-15"/>
        </w:rPr>
        <w:t xml:space="preserve"> </w:t>
      </w:r>
      <w:r>
        <w:rPr>
          <w:rFonts w:ascii="Times New Roman" w:hAnsi="Times New Roman" w:cs="Times New Roman"/>
        </w:rPr>
        <w:t>specified</w:t>
      </w:r>
      <w:r>
        <w:rPr>
          <w:rFonts w:ascii="Times New Roman" w:hAnsi="Times New Roman" w:cs="Times New Roman"/>
          <w:spacing w:val="-22"/>
        </w:rPr>
        <w:t xml:space="preserve"> </w:t>
      </w:r>
      <w:r>
        <w:rPr>
          <w:rFonts w:ascii="Times New Roman" w:hAnsi="Times New Roman" w:cs="Times New Roman"/>
        </w:rPr>
        <w:t>in section 265,</w:t>
      </w:r>
      <w:r>
        <w:rPr>
          <w:rFonts w:ascii="Times New Roman" w:hAnsi="Times New Roman" w:cs="Times New Roman"/>
          <w:spacing w:val="-9"/>
        </w:rPr>
        <w:t xml:space="preserve"> </w:t>
      </w:r>
      <w:r>
        <w:rPr>
          <w:rFonts w:ascii="Times New Roman" w:hAnsi="Times New Roman" w:cs="Times New Roman"/>
        </w:rPr>
        <w:t>and (b) the applicant has provided such information and satisfied such conditions</w:t>
      </w:r>
      <w:r>
        <w:rPr>
          <w:rFonts w:ascii="Times New Roman" w:hAnsi="Times New Roman" w:cs="Times New Roman"/>
          <w:spacing w:val="-9"/>
        </w:rPr>
        <w:t xml:space="preserve"> </w:t>
      </w:r>
      <w:r>
        <w:rPr>
          <w:rFonts w:ascii="Times New Roman" w:hAnsi="Times New Roman" w:cs="Times New Roman"/>
        </w:rPr>
        <w:t>as</w:t>
      </w:r>
      <w:r>
        <w:rPr>
          <w:rFonts w:ascii="Times New Roman" w:hAnsi="Times New Roman" w:cs="Times New Roman"/>
          <w:spacing w:val="-15"/>
        </w:rPr>
        <w:t xml:space="preserve"> </w:t>
      </w:r>
      <w:r>
        <w:rPr>
          <w:rFonts w:ascii="Times New Roman" w:hAnsi="Times New Roman" w:cs="Times New Roman"/>
        </w:rPr>
        <w:t>may</w:t>
      </w:r>
      <w:r>
        <w:rPr>
          <w:rFonts w:ascii="Times New Roman" w:hAnsi="Times New Roman" w:cs="Times New Roman"/>
          <w:spacing w:val="-11"/>
        </w:rPr>
        <w:t xml:space="preserve"> </w:t>
      </w:r>
      <w:r>
        <w:rPr>
          <w:rFonts w:ascii="Times New Roman" w:hAnsi="Times New Roman" w:cs="Times New Roman"/>
        </w:rPr>
        <w:t>be</w:t>
      </w:r>
      <w:r>
        <w:rPr>
          <w:rFonts w:ascii="Times New Roman" w:hAnsi="Times New Roman" w:cs="Times New Roman"/>
          <w:spacing w:val="-25"/>
        </w:rPr>
        <w:t xml:space="preserve"> </w:t>
      </w:r>
      <w:r>
        <w:rPr>
          <w:rFonts w:ascii="Times New Roman" w:hAnsi="Times New Roman" w:cs="Times New Roman"/>
        </w:rPr>
        <w:t>prescribed</w:t>
      </w:r>
      <w:r>
        <w:rPr>
          <w:rFonts w:ascii="Times New Roman" w:hAnsi="Times New Roman" w:cs="Times New Roman"/>
          <w:spacing w:val="-14"/>
        </w:rPr>
        <w:t xml:space="preserve"> </w:t>
      </w:r>
      <w:r>
        <w:rPr>
          <w:rFonts w:ascii="Times New Roman" w:hAnsi="Times New Roman" w:cs="Times New Roman"/>
        </w:rPr>
        <w:t>by</w:t>
      </w:r>
      <w:r>
        <w:rPr>
          <w:rFonts w:ascii="Times New Roman" w:hAnsi="Times New Roman" w:cs="Times New Roman"/>
          <w:spacing w:val="-18"/>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Minister</w:t>
      </w:r>
      <w:r>
        <w:rPr>
          <w:rFonts w:ascii="Times New Roman" w:hAnsi="Times New Roman" w:cs="Times New Roman"/>
          <w:spacing w:val="-10"/>
        </w:rPr>
        <w:t xml:space="preserve"> </w:t>
      </w:r>
      <w:r>
        <w:rPr>
          <w:rFonts w:ascii="Times New Roman" w:hAnsi="Times New Roman" w:cs="Times New Roman"/>
        </w:rPr>
        <w:t>for</w:t>
      </w:r>
      <w:r>
        <w:rPr>
          <w:rFonts w:ascii="Times New Roman" w:hAnsi="Times New Roman" w:cs="Times New Roman"/>
          <w:spacing w:val="-14"/>
        </w:rPr>
        <w:t xml:space="preserve"> </w:t>
      </w:r>
      <w:r>
        <w:rPr>
          <w:rFonts w:ascii="Times New Roman" w:hAnsi="Times New Roman" w:cs="Times New Roman"/>
        </w:rPr>
        <w:t>the</w:t>
      </w:r>
      <w:r>
        <w:rPr>
          <w:rFonts w:ascii="Times New Roman" w:hAnsi="Times New Roman" w:cs="Times New Roman"/>
          <w:spacing w:val="-21"/>
        </w:rPr>
        <w:t xml:space="preserve"> </w:t>
      </w:r>
      <w:r>
        <w:rPr>
          <w:rFonts w:ascii="Times New Roman" w:hAnsi="Times New Roman" w:cs="Times New Roman"/>
        </w:rPr>
        <w:t>purposes</w:t>
      </w:r>
      <w:r>
        <w:rPr>
          <w:rFonts w:ascii="Times New Roman" w:hAnsi="Times New Roman" w:cs="Times New Roman"/>
          <w:spacing w:val="-8"/>
        </w:rPr>
        <w:t xml:space="preserve"> </w:t>
      </w:r>
      <w:r>
        <w:rPr>
          <w:rFonts w:ascii="Times New Roman" w:hAnsi="Times New Roman" w:cs="Times New Roman"/>
        </w:rPr>
        <w:t>of registration”. In paragraph (6), it is determined what information must be presented: the name and address of the</w:t>
      </w:r>
      <w:r>
        <w:rPr>
          <w:rFonts w:ascii="Times New Roman" w:hAnsi="Times New Roman" w:cs="Times New Roman"/>
          <w:spacing w:val="31"/>
        </w:rPr>
        <w:t xml:space="preserve"> </w:t>
      </w:r>
      <w:r>
        <w:rPr>
          <w:rFonts w:ascii="Times New Roman" w:hAnsi="Times New Roman" w:cs="Times New Roman"/>
        </w:rPr>
        <w:t xml:space="preserve">applicant; the names of the members of the board, a copy of the memorandum and article of association, etc., and, </w:t>
      </w:r>
      <w:r>
        <w:rPr>
          <w:rFonts w:ascii="Times New Roman" w:hAnsi="Times New Roman" w:cs="Times New Roman"/>
          <w:i/>
        </w:rPr>
        <w:t>inter alia</w:t>
      </w:r>
      <w:r>
        <w:rPr>
          <w:rFonts w:ascii="Times New Roman" w:hAnsi="Times New Roman" w:cs="Times New Roman"/>
        </w:rPr>
        <w:t>, also  “the class of rightsowners represented or proposed to be represented by the</w:t>
      </w:r>
      <w:r>
        <w:rPr>
          <w:rFonts w:ascii="Times New Roman" w:hAnsi="Times New Roman" w:cs="Times New Roman"/>
          <w:spacing w:val="3"/>
        </w:rPr>
        <w:t xml:space="preserve"> </w:t>
      </w:r>
      <w:r>
        <w:rPr>
          <w:rFonts w:ascii="Times New Roman" w:hAnsi="Times New Roman" w:cs="Times New Roman"/>
        </w:rPr>
        <w:t>applicant”. Paragraph (7) is about the format in which the information should be presented. The indication of the class of rightsowners represented or proposed to be represented by the</w:t>
      </w:r>
      <w:r>
        <w:rPr>
          <w:rFonts w:ascii="Times New Roman" w:hAnsi="Times New Roman" w:cs="Times New Roman"/>
          <w:spacing w:val="3"/>
        </w:rPr>
        <w:t xml:space="preserve"> </w:t>
      </w:r>
      <w:r>
        <w:rPr>
          <w:rFonts w:ascii="Times New Roman" w:hAnsi="Times New Roman" w:cs="Times New Roman"/>
        </w:rPr>
        <w:t>applicant certainly is not an obligation for the Controller to choose the first form of registration under section 281, but it is one of the three possible alternatives mentioned there. The provision is not informative of the applicability or non-applicability of presumption-based systems from the viewpoint of the CM Directive.</w:t>
      </w:r>
    </w:p>
  </w:footnote>
  <w:footnote w:id="18">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hu-HU"/>
        </w:rPr>
        <w:t xml:space="preserve">Court of Appeal in RAAP v. PPI.  para. 43. </w:t>
      </w:r>
    </w:p>
  </w:footnote>
  <w:footnote w:id="19">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lang w:val="es-ES_tradnl"/>
        </w:rPr>
        <w:t xml:space="preserve"> </w:t>
      </w:r>
      <w:r>
        <w:rPr>
          <w:rFonts w:ascii="Times New Roman" w:hAnsi="Times New Roman" w:cs="Times New Roman"/>
          <w:i/>
          <w:lang w:val="es-ES_tradnl"/>
        </w:rPr>
        <w:t>Ibid</w:t>
      </w:r>
      <w:r>
        <w:rPr>
          <w:rFonts w:ascii="Times New Roman" w:hAnsi="Times New Roman" w:cs="Times New Roman"/>
          <w:lang w:val="es-ES_tradnl"/>
        </w:rPr>
        <w:t xml:space="preserve">., para </w:t>
      </w:r>
      <w:r>
        <w:rPr>
          <w:rFonts w:ascii="Times New Roman" w:hAnsi="Times New Roman" w:cs="Times New Roman"/>
          <w:lang w:val="hu-HU"/>
        </w:rPr>
        <w:t>24.</w:t>
      </w:r>
    </w:p>
  </w:footnote>
  <w:footnote w:id="20">
    <w:p w:rsidR="00494D93" w:rsidRDefault="00494D93" w:rsidP="00494D93">
      <w:pPr>
        <w:tabs>
          <w:tab w:val="left" w:pos="0"/>
        </w:tabs>
        <w:autoSpaceDE w:val="0"/>
        <w:autoSpaceDN w:val="0"/>
        <w:spacing w:after="0" w:line="240" w:lineRule="auto"/>
        <w:jc w:val="both"/>
        <w:rPr>
          <w:rFonts w:cs="Times New Roman"/>
          <w:sz w:val="20"/>
          <w:szCs w:val="20"/>
          <w:u w:val="single"/>
        </w:rPr>
      </w:pPr>
      <w:r>
        <w:rPr>
          <w:rStyle w:val="Lbjegyzet-hivatkozs"/>
          <w:rFonts w:ascii="Times New Roman" w:hAnsi="Times New Roman" w:cs="Times New Roman"/>
          <w:sz w:val="20"/>
          <w:szCs w:val="20"/>
        </w:rPr>
        <w:footnoteRef/>
      </w:r>
      <w:r w:rsidRPr="002F1F60">
        <w:rPr>
          <w:rFonts w:ascii="Times New Roman" w:hAnsi="Times New Roman" w:cs="Times New Roman"/>
          <w:sz w:val="20"/>
          <w:szCs w:val="20"/>
          <w:lang w:val="es-ES_tradnl"/>
        </w:rPr>
        <w:t xml:space="preserve"> </w:t>
      </w:r>
      <w:r w:rsidRPr="002F1F60">
        <w:rPr>
          <w:rFonts w:ascii="Times New Roman" w:hAnsi="Times New Roman" w:cs="Times New Roman"/>
          <w:i/>
          <w:sz w:val="20"/>
          <w:szCs w:val="20"/>
          <w:lang w:val="es-ES_tradnl"/>
        </w:rPr>
        <w:t>See</w:t>
      </w:r>
      <w:r w:rsidRPr="002F1F60">
        <w:rPr>
          <w:rFonts w:ascii="Times New Roman" w:hAnsi="Times New Roman" w:cs="Times New Roman"/>
          <w:sz w:val="20"/>
          <w:szCs w:val="20"/>
          <w:lang w:val="es-ES_tradnl"/>
        </w:rPr>
        <w:t xml:space="preserve"> </w:t>
      </w:r>
      <w:r w:rsidRPr="002F1F60">
        <w:rPr>
          <w:rFonts w:ascii="Times New Roman" w:hAnsi="Times New Roman" w:cs="Times New Roman"/>
          <w:i/>
          <w:sz w:val="20"/>
          <w:szCs w:val="20"/>
          <w:lang w:val="es-ES_tradnl"/>
        </w:rPr>
        <w:t xml:space="preserve">ibid., </w:t>
      </w:r>
      <w:r w:rsidRPr="002F1F60">
        <w:rPr>
          <w:rFonts w:ascii="Times New Roman" w:hAnsi="Times New Roman" w:cs="Times New Roman"/>
          <w:sz w:val="20"/>
          <w:szCs w:val="20"/>
          <w:lang w:val="es-ES_tradnl"/>
        </w:rPr>
        <w:t xml:space="preserve">para. </w:t>
      </w:r>
      <w:r>
        <w:rPr>
          <w:rFonts w:ascii="Times New Roman" w:hAnsi="Times New Roman" w:cs="Times New Roman"/>
          <w:sz w:val="20"/>
          <w:szCs w:val="20"/>
        </w:rPr>
        <w:t>49:  “[I]f</w:t>
      </w:r>
      <w:r>
        <w:rPr>
          <w:rFonts w:ascii="Times New Roman" w:hAnsi="Times New Roman" w:cs="Times New Roman"/>
          <w:spacing w:val="-33"/>
          <w:sz w:val="20"/>
          <w:szCs w:val="20"/>
        </w:rPr>
        <w:t xml:space="preserve"> </w:t>
      </w:r>
      <w:r>
        <w:rPr>
          <w:rFonts w:ascii="Times New Roman" w:hAnsi="Times New Roman" w:cs="Times New Roman"/>
          <w:sz w:val="20"/>
          <w:szCs w:val="20"/>
        </w:rPr>
        <w:t>the</w:t>
      </w:r>
      <w:r>
        <w:rPr>
          <w:rFonts w:ascii="Times New Roman" w:hAnsi="Times New Roman" w:cs="Times New Roman"/>
          <w:spacing w:val="-38"/>
          <w:sz w:val="20"/>
          <w:szCs w:val="20"/>
        </w:rPr>
        <w:t xml:space="preserve">  </w:t>
      </w:r>
      <w:r>
        <w:rPr>
          <w:rFonts w:ascii="Times New Roman" w:hAnsi="Times New Roman" w:cs="Times New Roman"/>
          <w:sz w:val="20"/>
          <w:szCs w:val="20"/>
        </w:rPr>
        <w:t>entitlement</w:t>
      </w:r>
      <w:r>
        <w:rPr>
          <w:rFonts w:ascii="Times New Roman" w:hAnsi="Times New Roman" w:cs="Times New Roman"/>
          <w:spacing w:val="-27"/>
          <w:sz w:val="20"/>
          <w:szCs w:val="20"/>
        </w:rPr>
        <w:t xml:space="preserve"> </w:t>
      </w:r>
      <w:r>
        <w:rPr>
          <w:rFonts w:ascii="Times New Roman" w:hAnsi="Times New Roman" w:cs="Times New Roman"/>
          <w:sz w:val="20"/>
          <w:szCs w:val="20"/>
        </w:rPr>
        <w:t>to</w:t>
      </w:r>
      <w:r>
        <w:rPr>
          <w:rFonts w:ascii="Times New Roman" w:hAnsi="Times New Roman" w:cs="Times New Roman"/>
          <w:spacing w:val="-37"/>
          <w:sz w:val="20"/>
          <w:szCs w:val="20"/>
        </w:rPr>
        <w:t xml:space="preserve"> </w:t>
      </w:r>
      <w:r>
        <w:rPr>
          <w:rFonts w:ascii="Times New Roman" w:hAnsi="Times New Roman" w:cs="Times New Roman"/>
          <w:sz w:val="20"/>
          <w:szCs w:val="20"/>
        </w:rPr>
        <w:t>act</w:t>
      </w:r>
      <w:r>
        <w:rPr>
          <w:rFonts w:ascii="Times New Roman" w:hAnsi="Times New Roman" w:cs="Times New Roman"/>
          <w:spacing w:val="-33"/>
          <w:sz w:val="20"/>
          <w:szCs w:val="20"/>
        </w:rPr>
        <w:t xml:space="preserve"> </w:t>
      </w:r>
      <w:r>
        <w:rPr>
          <w:rFonts w:ascii="Times New Roman" w:hAnsi="Times New Roman" w:cs="Times New Roman"/>
          <w:sz w:val="20"/>
          <w:szCs w:val="20"/>
        </w:rPr>
        <w:t>arose</w:t>
      </w:r>
      <w:r>
        <w:rPr>
          <w:rFonts w:ascii="Times New Roman" w:hAnsi="Times New Roman" w:cs="Times New Roman"/>
          <w:spacing w:val="-37"/>
          <w:sz w:val="20"/>
          <w:szCs w:val="20"/>
        </w:rPr>
        <w:t xml:space="preserve"> </w:t>
      </w:r>
      <w:r>
        <w:rPr>
          <w:rFonts w:ascii="Times New Roman" w:hAnsi="Times New Roman" w:cs="Times New Roman"/>
          <w:sz w:val="20"/>
          <w:szCs w:val="20"/>
        </w:rPr>
        <w:t>from</w:t>
      </w:r>
      <w:r>
        <w:rPr>
          <w:rFonts w:ascii="Times New Roman" w:hAnsi="Times New Roman" w:cs="Times New Roman"/>
          <w:spacing w:val="-33"/>
          <w:sz w:val="20"/>
          <w:szCs w:val="20"/>
        </w:rPr>
        <w:t xml:space="preserve"> </w:t>
      </w:r>
      <w:r>
        <w:rPr>
          <w:rFonts w:ascii="Times New Roman" w:hAnsi="Times New Roman" w:cs="Times New Roman"/>
          <w:sz w:val="20"/>
          <w:szCs w:val="20"/>
        </w:rPr>
        <w:t>the</w:t>
      </w:r>
      <w:r>
        <w:rPr>
          <w:rFonts w:ascii="Times New Roman" w:hAnsi="Times New Roman" w:cs="Times New Roman"/>
          <w:spacing w:val="-39"/>
          <w:sz w:val="20"/>
          <w:szCs w:val="20"/>
        </w:rPr>
        <w:t xml:space="preserve"> </w:t>
      </w:r>
      <w:r>
        <w:rPr>
          <w:rFonts w:ascii="Times New Roman" w:hAnsi="Times New Roman" w:cs="Times New Roman"/>
          <w:sz w:val="20"/>
          <w:szCs w:val="20"/>
        </w:rPr>
        <w:t>fact</w:t>
      </w:r>
      <w:r>
        <w:rPr>
          <w:rFonts w:ascii="Times New Roman" w:hAnsi="Times New Roman" w:cs="Times New Roman"/>
          <w:spacing w:val="-37"/>
          <w:sz w:val="20"/>
          <w:szCs w:val="20"/>
        </w:rPr>
        <w:t xml:space="preserve"> </w:t>
      </w:r>
      <w:r>
        <w:rPr>
          <w:rFonts w:ascii="Times New Roman" w:hAnsi="Times New Roman" w:cs="Times New Roman"/>
          <w:sz w:val="20"/>
          <w:szCs w:val="20"/>
        </w:rPr>
        <w:t>of</w:t>
      </w:r>
      <w:r>
        <w:rPr>
          <w:rFonts w:ascii="Times New Roman" w:hAnsi="Times New Roman" w:cs="Times New Roman"/>
          <w:spacing w:val="-34"/>
          <w:sz w:val="20"/>
          <w:szCs w:val="20"/>
        </w:rPr>
        <w:t xml:space="preserve"> </w:t>
      </w:r>
      <w:r>
        <w:rPr>
          <w:rFonts w:ascii="Times New Roman" w:hAnsi="Times New Roman" w:cs="Times New Roman"/>
          <w:sz w:val="20"/>
          <w:szCs w:val="20"/>
        </w:rPr>
        <w:t>registration</w:t>
      </w:r>
      <w:r>
        <w:rPr>
          <w:rFonts w:ascii="Times New Roman" w:hAnsi="Times New Roman" w:cs="Times New Roman"/>
          <w:spacing w:val="-30"/>
          <w:sz w:val="20"/>
          <w:szCs w:val="20"/>
        </w:rPr>
        <w:t xml:space="preserve"> </w:t>
      </w:r>
      <w:r>
        <w:rPr>
          <w:rFonts w:ascii="Times New Roman" w:hAnsi="Times New Roman" w:cs="Times New Roman"/>
          <w:sz w:val="20"/>
          <w:szCs w:val="20"/>
        </w:rPr>
        <w:t>in</w:t>
      </w:r>
      <w:r>
        <w:rPr>
          <w:rFonts w:ascii="Times New Roman" w:hAnsi="Times New Roman" w:cs="Times New Roman"/>
          <w:spacing w:val="-34"/>
          <w:sz w:val="20"/>
          <w:szCs w:val="20"/>
        </w:rPr>
        <w:t xml:space="preserve"> </w:t>
      </w:r>
      <w:r>
        <w:rPr>
          <w:rFonts w:ascii="Times New Roman" w:hAnsi="Times New Roman" w:cs="Times New Roman"/>
          <w:sz w:val="20"/>
          <w:szCs w:val="20"/>
        </w:rPr>
        <w:t>respect</w:t>
      </w:r>
      <w:r>
        <w:rPr>
          <w:rFonts w:ascii="Times New Roman" w:hAnsi="Times New Roman" w:cs="Times New Roman"/>
          <w:spacing w:val="-34"/>
          <w:sz w:val="20"/>
          <w:szCs w:val="20"/>
        </w:rPr>
        <w:t xml:space="preserve"> </w:t>
      </w:r>
      <w:r>
        <w:rPr>
          <w:rStyle w:val="AlcmChar"/>
          <w:rFonts w:ascii="Times New Roman" w:eastAsiaTheme="minorHAnsi" w:hAnsi="Times New Roman"/>
          <w:sz w:val="20"/>
          <w:szCs w:val="20"/>
        </w:rPr>
        <w:t>of a particular class of rights and it extended, as a result, to all performers coming within the class (absent those who opted out of such representation), the second part of s.281 would be superfluous, as assigment of rights or exclusive licensing of rights would be unnecessary in order to authorise</w:t>
      </w:r>
      <w:r>
        <w:rPr>
          <w:rFonts w:ascii="Times New Roman" w:hAnsi="Times New Roman" w:cs="Times New Roman"/>
          <w:spacing w:val="-27"/>
          <w:sz w:val="20"/>
          <w:szCs w:val="20"/>
          <w:lang w:val="ru-RU"/>
        </w:rPr>
        <w:t xml:space="preserve"> </w:t>
      </w:r>
      <w:r>
        <w:rPr>
          <w:rFonts w:ascii="Times New Roman" w:hAnsi="Times New Roman" w:cs="Times New Roman"/>
          <w:sz w:val="20"/>
          <w:szCs w:val="20"/>
        </w:rPr>
        <w:t>the</w:t>
      </w:r>
      <w:r>
        <w:rPr>
          <w:rFonts w:ascii="Times New Roman" w:hAnsi="Times New Roman" w:cs="Times New Roman"/>
          <w:spacing w:val="-37"/>
          <w:sz w:val="20"/>
          <w:szCs w:val="20"/>
        </w:rPr>
        <w:t xml:space="preserve"> </w:t>
      </w:r>
      <w:r>
        <w:rPr>
          <w:rFonts w:ascii="Times New Roman" w:hAnsi="Times New Roman" w:cs="Times New Roman"/>
          <w:sz w:val="20"/>
          <w:szCs w:val="20"/>
        </w:rPr>
        <w:t>CMO</w:t>
      </w:r>
      <w:r>
        <w:rPr>
          <w:rFonts w:ascii="Times New Roman" w:hAnsi="Times New Roman" w:cs="Times New Roman"/>
          <w:spacing w:val="-31"/>
          <w:sz w:val="20"/>
          <w:szCs w:val="20"/>
        </w:rPr>
        <w:t xml:space="preserve"> </w:t>
      </w:r>
      <w:r>
        <w:rPr>
          <w:rFonts w:ascii="Times New Roman" w:hAnsi="Times New Roman" w:cs="Times New Roman"/>
          <w:sz w:val="20"/>
          <w:szCs w:val="20"/>
        </w:rPr>
        <w:t>to</w:t>
      </w:r>
      <w:r>
        <w:rPr>
          <w:rFonts w:ascii="Times New Roman" w:hAnsi="Times New Roman" w:cs="Times New Roman"/>
          <w:spacing w:val="-34"/>
          <w:sz w:val="20"/>
          <w:szCs w:val="20"/>
        </w:rPr>
        <w:t xml:space="preserve"> </w:t>
      </w:r>
      <w:r>
        <w:rPr>
          <w:rFonts w:ascii="Times New Roman" w:hAnsi="Times New Roman" w:cs="Times New Roman"/>
          <w:sz w:val="20"/>
          <w:szCs w:val="20"/>
        </w:rPr>
        <w:t>manage</w:t>
      </w:r>
      <w:r>
        <w:rPr>
          <w:rFonts w:ascii="Times New Roman" w:hAnsi="Times New Roman" w:cs="Times New Roman"/>
          <w:spacing w:val="-29"/>
          <w:sz w:val="20"/>
          <w:szCs w:val="20"/>
        </w:rPr>
        <w:t xml:space="preserve"> </w:t>
      </w:r>
      <w:r>
        <w:rPr>
          <w:rFonts w:ascii="Times New Roman" w:hAnsi="Times New Roman" w:cs="Times New Roman"/>
          <w:sz w:val="20"/>
          <w:szCs w:val="20"/>
        </w:rPr>
        <w:t>the</w:t>
      </w:r>
      <w:r>
        <w:rPr>
          <w:rFonts w:ascii="Times New Roman" w:hAnsi="Times New Roman" w:cs="Times New Roman"/>
          <w:spacing w:val="-35"/>
          <w:sz w:val="20"/>
          <w:szCs w:val="20"/>
        </w:rPr>
        <w:t xml:space="preserve"> </w:t>
      </w:r>
      <w:r>
        <w:rPr>
          <w:rFonts w:ascii="Times New Roman" w:hAnsi="Times New Roman" w:cs="Times New Roman"/>
          <w:sz w:val="20"/>
          <w:szCs w:val="20"/>
        </w:rPr>
        <w:t>rights</w:t>
      </w:r>
      <w:r>
        <w:rPr>
          <w:rFonts w:ascii="Times New Roman" w:hAnsi="Times New Roman" w:cs="Times New Roman"/>
          <w:spacing w:val="-34"/>
          <w:sz w:val="20"/>
          <w:szCs w:val="20"/>
        </w:rPr>
        <w:t xml:space="preserve"> </w:t>
      </w:r>
      <w:r>
        <w:rPr>
          <w:rFonts w:ascii="Times New Roman" w:hAnsi="Times New Roman" w:cs="Times New Roman"/>
          <w:sz w:val="20"/>
          <w:szCs w:val="20"/>
        </w:rPr>
        <w:t>of</w:t>
      </w:r>
      <w:r>
        <w:rPr>
          <w:rFonts w:ascii="Times New Roman" w:hAnsi="Times New Roman" w:cs="Times New Roman"/>
          <w:spacing w:val="-34"/>
          <w:sz w:val="20"/>
          <w:szCs w:val="20"/>
        </w:rPr>
        <w:t xml:space="preserve"> </w:t>
      </w:r>
      <w:r>
        <w:rPr>
          <w:rFonts w:ascii="Times New Roman" w:hAnsi="Times New Roman" w:cs="Times New Roman"/>
          <w:sz w:val="20"/>
          <w:szCs w:val="20"/>
        </w:rPr>
        <w:t>the</w:t>
      </w:r>
      <w:r>
        <w:rPr>
          <w:rFonts w:ascii="Times New Roman" w:hAnsi="Times New Roman" w:cs="Times New Roman"/>
          <w:spacing w:val="-33"/>
          <w:sz w:val="20"/>
          <w:szCs w:val="20"/>
        </w:rPr>
        <w:t xml:space="preserve"> </w:t>
      </w:r>
      <w:r>
        <w:rPr>
          <w:rFonts w:ascii="Times New Roman" w:hAnsi="Times New Roman" w:cs="Times New Roman"/>
          <w:sz w:val="20"/>
          <w:szCs w:val="20"/>
        </w:rPr>
        <w:t>right-holders.”</w:t>
      </w:r>
      <w:r>
        <w:rPr>
          <w:rFonts w:ascii="Times New Roman" w:hAnsi="Times New Roman" w:cs="Times New Roman"/>
          <w:sz w:val="20"/>
          <w:szCs w:val="20"/>
          <w:u w:val="single"/>
        </w:rPr>
        <w:t xml:space="preserve">  </w:t>
      </w:r>
    </w:p>
    <w:p w:rsidR="00494D93" w:rsidRDefault="00494D93" w:rsidP="00494D93">
      <w:pPr>
        <w:pStyle w:val="Lbjegyzetszveg"/>
        <w:jc w:val="both"/>
        <w:rPr>
          <w:rFonts w:ascii="Times New Roman" w:hAnsi="Times New Roman" w:cs="Times New Roman"/>
        </w:rPr>
      </w:pPr>
    </w:p>
  </w:footnote>
  <w:footnote w:id="21">
    <w:p w:rsidR="00494D93" w:rsidRDefault="00494D93" w:rsidP="00494D93">
      <w:pPr>
        <w:pStyle w:val="Alcm"/>
        <w:tabs>
          <w:tab w:val="left" w:pos="0"/>
        </w:tabs>
        <w:spacing w:after="0"/>
        <w:jc w:val="both"/>
        <w:rPr>
          <w:rFonts w:ascii="Times New Roman" w:hAnsi="Times New Roman"/>
        </w:rPr>
      </w:pPr>
      <w:r>
        <w:rPr>
          <w:rStyle w:val="Lbjegyzet-hivatkozs"/>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See</w:t>
      </w:r>
      <w:r>
        <w:rPr>
          <w:rFonts w:ascii="Times New Roman" w:hAnsi="Times New Roman"/>
          <w:sz w:val="20"/>
          <w:szCs w:val="20"/>
        </w:rPr>
        <w:t xml:space="preserve">  Court of Appeal in RAAP v. PPI, para. 52: “The</w:t>
      </w:r>
      <w:r>
        <w:rPr>
          <w:rFonts w:ascii="Times New Roman" w:hAnsi="Times New Roman"/>
          <w:spacing w:val="-39"/>
          <w:sz w:val="20"/>
          <w:szCs w:val="20"/>
        </w:rPr>
        <w:t xml:space="preserve">  </w:t>
      </w:r>
      <w:r>
        <w:rPr>
          <w:rFonts w:ascii="Times New Roman" w:hAnsi="Times New Roman"/>
          <w:sz w:val="20"/>
          <w:szCs w:val="20"/>
        </w:rPr>
        <w:t>phrase ‘until</w:t>
      </w:r>
      <w:r>
        <w:rPr>
          <w:rFonts w:ascii="Times New Roman" w:hAnsi="Times New Roman"/>
          <w:spacing w:val="-40"/>
          <w:sz w:val="20"/>
          <w:szCs w:val="20"/>
        </w:rPr>
        <w:t xml:space="preserve"> </w:t>
      </w:r>
      <w:r>
        <w:rPr>
          <w:rFonts w:ascii="Times New Roman" w:hAnsi="Times New Roman"/>
          <w:sz w:val="20"/>
          <w:szCs w:val="20"/>
        </w:rPr>
        <w:t>the</w:t>
      </w:r>
      <w:r>
        <w:rPr>
          <w:rFonts w:ascii="Times New Roman" w:hAnsi="Times New Roman"/>
          <w:spacing w:val="-45"/>
          <w:sz w:val="20"/>
          <w:szCs w:val="20"/>
        </w:rPr>
        <w:t xml:space="preserve"> </w:t>
      </w:r>
      <w:r>
        <w:rPr>
          <w:rFonts w:ascii="Times New Roman" w:hAnsi="Times New Roman"/>
          <w:sz w:val="20"/>
          <w:szCs w:val="20"/>
        </w:rPr>
        <w:t>contrary</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41"/>
          <w:sz w:val="20"/>
          <w:szCs w:val="20"/>
        </w:rPr>
        <w:t xml:space="preserve"> </w:t>
      </w:r>
      <w:r>
        <w:rPr>
          <w:rFonts w:ascii="Times New Roman" w:hAnsi="Times New Roman"/>
          <w:sz w:val="20"/>
          <w:szCs w:val="20"/>
        </w:rPr>
        <w:t>proved</w:t>
      </w:r>
      <w:r>
        <w:rPr>
          <w:rFonts w:ascii="Times New Roman" w:hAnsi="Times New Roman"/>
          <w:sz w:val="20"/>
          <w:szCs w:val="20"/>
          <w:lang w:val="hu-HU"/>
        </w:rPr>
        <w:t>’</w:t>
      </w:r>
      <w:r>
        <w:rPr>
          <w:rFonts w:ascii="Times New Roman" w:hAnsi="Times New Roman"/>
          <w:spacing w:val="-38"/>
          <w:sz w:val="20"/>
          <w:szCs w:val="20"/>
          <w:lang w:val="hu-HU"/>
        </w:rPr>
        <w:t xml:space="preserve"> </w:t>
      </w:r>
      <w:r>
        <w:rPr>
          <w:rFonts w:ascii="Times New Roman" w:hAnsi="Times New Roman"/>
          <w:sz w:val="20"/>
          <w:szCs w:val="20"/>
        </w:rPr>
        <w:t>in</w:t>
      </w:r>
      <w:r>
        <w:rPr>
          <w:rFonts w:ascii="Times New Roman" w:hAnsi="Times New Roman"/>
          <w:spacing w:val="-44"/>
          <w:sz w:val="20"/>
          <w:szCs w:val="20"/>
        </w:rPr>
        <w:t xml:space="preserve"> </w:t>
      </w:r>
      <w:r>
        <w:rPr>
          <w:rFonts w:ascii="Times New Roman" w:hAnsi="Times New Roman"/>
          <w:sz w:val="20"/>
          <w:szCs w:val="20"/>
        </w:rPr>
        <w:t>s.281,</w:t>
      </w:r>
      <w:r>
        <w:rPr>
          <w:rFonts w:ascii="Times New Roman" w:hAnsi="Times New Roman"/>
          <w:spacing w:val="-42"/>
          <w:sz w:val="20"/>
          <w:szCs w:val="20"/>
        </w:rPr>
        <w:t xml:space="preserve"> </w:t>
      </w:r>
      <w:r>
        <w:rPr>
          <w:rFonts w:ascii="Times New Roman" w:hAnsi="Times New Roman"/>
          <w:sz w:val="20"/>
          <w:szCs w:val="20"/>
        </w:rPr>
        <w:t>to</w:t>
      </w:r>
      <w:r>
        <w:rPr>
          <w:rFonts w:ascii="Times New Roman" w:hAnsi="Times New Roman"/>
          <w:spacing w:val="-42"/>
          <w:sz w:val="20"/>
          <w:szCs w:val="20"/>
        </w:rPr>
        <w:t xml:space="preserve">  </w:t>
      </w:r>
      <w:r>
        <w:rPr>
          <w:rFonts w:ascii="Times New Roman" w:hAnsi="Times New Roman"/>
          <w:sz w:val="20"/>
          <w:szCs w:val="20"/>
        </w:rPr>
        <w:t>my</w:t>
      </w:r>
      <w:r>
        <w:rPr>
          <w:rFonts w:ascii="Times New Roman" w:hAnsi="Times New Roman"/>
          <w:spacing w:val="-40"/>
          <w:sz w:val="20"/>
          <w:szCs w:val="20"/>
        </w:rPr>
        <w:t xml:space="preserve">  </w:t>
      </w:r>
      <w:r>
        <w:rPr>
          <w:rFonts w:ascii="Times New Roman" w:hAnsi="Times New Roman"/>
          <w:sz w:val="20"/>
          <w:szCs w:val="20"/>
        </w:rPr>
        <w:t>mind,</w:t>
      </w:r>
      <w:r>
        <w:rPr>
          <w:rFonts w:ascii="Times New Roman" w:hAnsi="Times New Roman"/>
          <w:spacing w:val="-43"/>
          <w:sz w:val="20"/>
          <w:szCs w:val="20"/>
        </w:rPr>
        <w:t xml:space="preserve"> </w:t>
      </w:r>
      <w:r>
        <w:rPr>
          <w:rFonts w:ascii="Times New Roman" w:hAnsi="Times New Roman"/>
          <w:sz w:val="20"/>
          <w:szCs w:val="20"/>
        </w:rPr>
        <w:t xml:space="preserve">deals </w:t>
      </w:r>
      <w:r>
        <w:rPr>
          <w:rFonts w:ascii="Times New Roman" w:hAnsi="Times New Roman"/>
          <w:spacing w:val="-42"/>
          <w:sz w:val="20"/>
          <w:szCs w:val="20"/>
        </w:rPr>
        <w:t xml:space="preserve"> </w:t>
      </w:r>
      <w:r>
        <w:rPr>
          <w:rFonts w:ascii="Times New Roman" w:hAnsi="Times New Roman"/>
          <w:sz w:val="20"/>
          <w:szCs w:val="20"/>
        </w:rPr>
        <w:t xml:space="preserve">with </w:t>
      </w:r>
      <w:r>
        <w:rPr>
          <w:rFonts w:ascii="Times New Roman" w:hAnsi="Times New Roman"/>
          <w:spacing w:val="-41"/>
          <w:sz w:val="20"/>
          <w:szCs w:val="20"/>
        </w:rPr>
        <w:t xml:space="preserve"> </w:t>
      </w:r>
      <w:r>
        <w:rPr>
          <w:rFonts w:ascii="Times New Roman" w:hAnsi="Times New Roman"/>
          <w:sz w:val="20"/>
          <w:szCs w:val="20"/>
        </w:rPr>
        <w:t xml:space="preserve">a </w:t>
      </w:r>
      <w:r>
        <w:rPr>
          <w:rFonts w:ascii="Times New Roman" w:hAnsi="Times New Roman"/>
          <w:spacing w:val="-45"/>
          <w:sz w:val="20"/>
          <w:szCs w:val="20"/>
        </w:rPr>
        <w:t xml:space="preserve"> </w:t>
      </w:r>
      <w:r>
        <w:rPr>
          <w:rFonts w:ascii="Times New Roman" w:hAnsi="Times New Roman"/>
          <w:sz w:val="20"/>
          <w:szCs w:val="20"/>
        </w:rPr>
        <w:t>situation where there may be a discrepancy between the certificate granted and the actual authorisation of the licensing body; the licensing body may cease to satisfy the requirements</w:t>
      </w:r>
      <w:r>
        <w:rPr>
          <w:rFonts w:ascii="Times New Roman" w:hAnsi="Times New Roman"/>
          <w:spacing w:val="-32"/>
          <w:sz w:val="20"/>
          <w:szCs w:val="20"/>
        </w:rPr>
        <w:t xml:space="preserve"> </w:t>
      </w:r>
      <w:r>
        <w:rPr>
          <w:rFonts w:ascii="Times New Roman" w:hAnsi="Times New Roman"/>
          <w:sz w:val="20"/>
          <w:szCs w:val="20"/>
        </w:rPr>
        <w:t>set</w:t>
      </w:r>
      <w:r>
        <w:rPr>
          <w:rFonts w:ascii="Times New Roman" w:hAnsi="Times New Roman"/>
          <w:spacing w:val="-38"/>
          <w:sz w:val="20"/>
          <w:szCs w:val="20"/>
        </w:rPr>
        <w:t xml:space="preserve"> </w:t>
      </w:r>
      <w:r>
        <w:rPr>
          <w:rFonts w:ascii="Times New Roman" w:hAnsi="Times New Roman"/>
          <w:sz w:val="20"/>
          <w:szCs w:val="20"/>
        </w:rPr>
        <w:t>out</w:t>
      </w:r>
      <w:r>
        <w:rPr>
          <w:rFonts w:ascii="Times New Roman" w:hAnsi="Times New Roman"/>
          <w:spacing w:val="-40"/>
          <w:sz w:val="20"/>
          <w:szCs w:val="20"/>
        </w:rPr>
        <w:t xml:space="preserve"> </w:t>
      </w:r>
      <w:r>
        <w:rPr>
          <w:rFonts w:ascii="Times New Roman" w:hAnsi="Times New Roman"/>
          <w:sz w:val="20"/>
          <w:szCs w:val="20"/>
        </w:rPr>
        <w:t>in</w:t>
      </w:r>
      <w:r>
        <w:rPr>
          <w:rFonts w:ascii="Times New Roman" w:hAnsi="Times New Roman"/>
          <w:spacing w:val="-40"/>
          <w:sz w:val="20"/>
          <w:szCs w:val="20"/>
        </w:rPr>
        <w:t xml:space="preserve"> </w:t>
      </w:r>
      <w:r>
        <w:rPr>
          <w:rFonts w:ascii="Times New Roman" w:hAnsi="Times New Roman"/>
          <w:sz w:val="20"/>
          <w:szCs w:val="20"/>
        </w:rPr>
        <w:t>s.280(6),</w:t>
      </w:r>
      <w:r>
        <w:rPr>
          <w:rFonts w:ascii="Times New Roman" w:hAnsi="Times New Roman"/>
          <w:spacing w:val="-34"/>
          <w:sz w:val="20"/>
          <w:szCs w:val="20"/>
        </w:rPr>
        <w:t xml:space="preserve"> </w:t>
      </w:r>
      <w:r>
        <w:rPr>
          <w:rFonts w:ascii="Times New Roman" w:hAnsi="Times New Roman"/>
          <w:sz w:val="20"/>
          <w:szCs w:val="20"/>
        </w:rPr>
        <w:t>or</w:t>
      </w:r>
      <w:r>
        <w:rPr>
          <w:rFonts w:ascii="Times New Roman" w:hAnsi="Times New Roman"/>
          <w:spacing w:val="-36"/>
          <w:sz w:val="20"/>
          <w:szCs w:val="20"/>
        </w:rPr>
        <w:t xml:space="preserve"> </w:t>
      </w:r>
      <w:r>
        <w:rPr>
          <w:rFonts w:ascii="Times New Roman" w:hAnsi="Times New Roman"/>
          <w:sz w:val="20"/>
          <w:szCs w:val="20"/>
        </w:rPr>
        <w:t>may</w:t>
      </w:r>
      <w:r>
        <w:rPr>
          <w:rFonts w:ascii="Times New Roman" w:hAnsi="Times New Roman"/>
          <w:spacing w:val="-33"/>
          <w:sz w:val="20"/>
          <w:szCs w:val="20"/>
        </w:rPr>
        <w:t xml:space="preserve"> </w:t>
      </w:r>
      <w:r>
        <w:rPr>
          <w:rFonts w:ascii="Times New Roman" w:hAnsi="Times New Roman"/>
          <w:sz w:val="20"/>
          <w:szCs w:val="20"/>
        </w:rPr>
        <w:t>have</w:t>
      </w:r>
      <w:r>
        <w:rPr>
          <w:rFonts w:ascii="Times New Roman" w:hAnsi="Times New Roman"/>
          <w:spacing w:val="-41"/>
          <w:sz w:val="20"/>
          <w:szCs w:val="20"/>
        </w:rPr>
        <w:t xml:space="preserve"> </w:t>
      </w:r>
      <w:r>
        <w:rPr>
          <w:rFonts w:ascii="Times New Roman" w:hAnsi="Times New Roman"/>
          <w:sz w:val="20"/>
          <w:szCs w:val="20"/>
        </w:rPr>
        <w:t>ceased</w:t>
      </w:r>
      <w:r>
        <w:rPr>
          <w:rFonts w:ascii="Times New Roman" w:hAnsi="Times New Roman"/>
          <w:spacing w:val="-36"/>
          <w:sz w:val="20"/>
          <w:szCs w:val="20"/>
        </w:rPr>
        <w:t xml:space="preserve"> </w:t>
      </w:r>
      <w:r>
        <w:rPr>
          <w:rFonts w:ascii="Times New Roman" w:hAnsi="Times New Roman"/>
          <w:sz w:val="20"/>
          <w:szCs w:val="20"/>
        </w:rPr>
        <w:t>to</w:t>
      </w:r>
      <w:r>
        <w:rPr>
          <w:rFonts w:ascii="Times New Roman" w:hAnsi="Times New Roman"/>
          <w:spacing w:val="-41"/>
          <w:sz w:val="20"/>
          <w:szCs w:val="20"/>
        </w:rPr>
        <w:t xml:space="preserve"> </w:t>
      </w:r>
      <w:r>
        <w:rPr>
          <w:rFonts w:ascii="Times New Roman" w:hAnsi="Times New Roman"/>
          <w:sz w:val="20"/>
          <w:szCs w:val="20"/>
        </w:rPr>
        <w:t>act</w:t>
      </w:r>
      <w:r>
        <w:rPr>
          <w:rFonts w:ascii="Times New Roman" w:hAnsi="Times New Roman"/>
          <w:spacing w:val="-36"/>
          <w:sz w:val="20"/>
          <w:szCs w:val="20"/>
        </w:rPr>
        <w:t xml:space="preserve"> </w:t>
      </w:r>
      <w:r>
        <w:rPr>
          <w:rFonts w:ascii="Times New Roman" w:hAnsi="Times New Roman"/>
          <w:sz w:val="20"/>
          <w:szCs w:val="20"/>
        </w:rPr>
        <w:t>in</w:t>
      </w:r>
      <w:r>
        <w:rPr>
          <w:rFonts w:ascii="Times New Roman" w:hAnsi="Times New Roman"/>
          <w:spacing w:val="-38"/>
          <w:sz w:val="20"/>
          <w:szCs w:val="20"/>
        </w:rPr>
        <w:t xml:space="preserve"> </w:t>
      </w:r>
      <w:r>
        <w:rPr>
          <w:rFonts w:ascii="Times New Roman" w:hAnsi="Times New Roman"/>
          <w:sz w:val="20"/>
          <w:szCs w:val="20"/>
        </w:rPr>
        <w:t>respect</w:t>
      </w:r>
      <w:r>
        <w:rPr>
          <w:rFonts w:ascii="Times New Roman" w:hAnsi="Times New Roman"/>
          <w:spacing w:val="-37"/>
          <w:sz w:val="20"/>
          <w:szCs w:val="20"/>
        </w:rPr>
        <w:t xml:space="preserve"> </w:t>
      </w:r>
      <w:r>
        <w:rPr>
          <w:rFonts w:ascii="Times New Roman" w:hAnsi="Times New Roman"/>
          <w:sz w:val="20"/>
          <w:szCs w:val="20"/>
        </w:rPr>
        <w:t>of</w:t>
      </w:r>
      <w:r>
        <w:rPr>
          <w:rFonts w:ascii="Times New Roman" w:hAnsi="Times New Roman"/>
          <w:spacing w:val="-39"/>
          <w:sz w:val="20"/>
          <w:szCs w:val="20"/>
        </w:rPr>
        <w:t xml:space="preserve"> </w:t>
      </w:r>
      <w:r>
        <w:rPr>
          <w:rFonts w:ascii="Times New Roman" w:hAnsi="Times New Roman"/>
          <w:sz w:val="20"/>
          <w:szCs w:val="20"/>
        </w:rPr>
        <w:t>certain</w:t>
      </w:r>
      <w:r>
        <w:rPr>
          <w:rFonts w:ascii="Times New Roman" w:hAnsi="Times New Roman"/>
          <w:spacing w:val="-35"/>
          <w:sz w:val="20"/>
          <w:szCs w:val="20"/>
        </w:rPr>
        <w:t xml:space="preserve"> </w:t>
      </w:r>
      <w:r>
        <w:rPr>
          <w:rFonts w:ascii="Times New Roman" w:hAnsi="Times New Roman"/>
          <w:sz w:val="20"/>
          <w:szCs w:val="20"/>
        </w:rPr>
        <w:t>classes</w:t>
      </w:r>
      <w:r>
        <w:rPr>
          <w:rFonts w:ascii="Times New Roman" w:hAnsi="Times New Roman"/>
          <w:spacing w:val="-35"/>
          <w:sz w:val="20"/>
          <w:szCs w:val="20"/>
        </w:rPr>
        <w:t xml:space="preserve"> </w:t>
      </w:r>
      <w:r>
        <w:rPr>
          <w:rFonts w:ascii="Times New Roman" w:hAnsi="Times New Roman"/>
          <w:sz w:val="20"/>
          <w:szCs w:val="20"/>
        </w:rPr>
        <w:t>of rights in respect of which it was registered, or where individual performers have withdrawn</w:t>
      </w:r>
      <w:r>
        <w:rPr>
          <w:rFonts w:ascii="Times New Roman" w:hAnsi="Times New Roman"/>
          <w:w w:val="95"/>
          <w:sz w:val="20"/>
          <w:szCs w:val="20"/>
        </w:rPr>
        <w:t xml:space="preserve"> </w:t>
      </w:r>
      <w:r>
        <w:rPr>
          <w:rFonts w:ascii="Times New Roman" w:hAnsi="Times New Roman"/>
          <w:sz w:val="20"/>
          <w:szCs w:val="20"/>
        </w:rPr>
        <w:t>their authorisation of the CMO to act on their</w:t>
      </w:r>
      <w:r>
        <w:rPr>
          <w:rFonts w:ascii="Times New Roman" w:hAnsi="Times New Roman"/>
          <w:spacing w:val="-29"/>
          <w:sz w:val="20"/>
          <w:szCs w:val="20"/>
        </w:rPr>
        <w:t xml:space="preserve"> </w:t>
      </w:r>
      <w:r>
        <w:rPr>
          <w:rFonts w:ascii="Times New Roman" w:hAnsi="Times New Roman"/>
          <w:sz w:val="20"/>
          <w:szCs w:val="20"/>
        </w:rPr>
        <w:t>behalf.</w:t>
      </w:r>
      <w:r>
        <w:rPr>
          <w:rFonts w:ascii="Times New Roman" w:hAnsi="Times New Roman"/>
          <w:sz w:val="20"/>
          <w:szCs w:val="20"/>
          <w:lang w:val="hu-HU"/>
        </w:rPr>
        <w:t>”</w:t>
      </w:r>
    </w:p>
  </w:footnote>
  <w:footnote w:id="22">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See </w:t>
      </w:r>
      <w:r>
        <w:rPr>
          <w:rFonts w:ascii="Times New Roman" w:hAnsi="Times New Roman" w:cs="Times New Roman"/>
        </w:rPr>
        <w:t xml:space="preserve">Recitals (33), (44) and (46) and Article 12(1)(b) of the Directive. </w:t>
      </w:r>
    </w:p>
  </w:footnote>
  <w:footnote w:id="23">
    <w:p w:rsidR="00494D93" w:rsidRDefault="00494D93" w:rsidP="00494D93">
      <w:pPr>
        <w:pStyle w:val="Lbjegyzetszveg"/>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See </w:t>
      </w:r>
      <w:r>
        <w:rPr>
          <w:rFonts w:ascii="Times New Roman" w:hAnsi="Times New Roman" w:cs="Times New Roman"/>
        </w:rPr>
        <w:t>Court of Appeal in RAAP v. PPI, para. 37.</w:t>
      </w:r>
      <w:r>
        <w:t xml:space="preserve"> </w:t>
      </w:r>
    </w:p>
  </w:footnote>
  <w:footnote w:id="24">
    <w:p w:rsidR="00494D93" w:rsidRDefault="00494D93" w:rsidP="00494D93">
      <w:pPr>
        <w:pStyle w:val="Lbjegyzetszveg"/>
        <w:tabs>
          <w:tab w:val="left" w:pos="0"/>
        </w:tabs>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 ibid.</w:t>
      </w:r>
      <w:r>
        <w:rPr>
          <w:rFonts w:ascii="Times New Roman" w:hAnsi="Times New Roman" w:cs="Times New Roman"/>
        </w:rPr>
        <w:t xml:space="preserve"> paras. 55 and 77</w:t>
      </w:r>
    </w:p>
  </w:footnote>
  <w:footnote w:id="25">
    <w:p w:rsidR="00494D93" w:rsidRDefault="00494D93" w:rsidP="00494D93">
      <w:pPr>
        <w:tabs>
          <w:tab w:val="left" w:pos="0"/>
        </w:tabs>
        <w:autoSpaceDE w:val="0"/>
        <w:autoSpaceDN w:val="0"/>
        <w:spacing w:after="0" w:line="240" w:lineRule="auto"/>
        <w:jc w:val="both"/>
      </w:pPr>
      <w:r>
        <w:rPr>
          <w:rStyle w:val="Lbjegyzet-hivatkozs"/>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sz w:val="20"/>
          <w:szCs w:val="20"/>
        </w:rPr>
        <w:t xml:space="preserve">See ibid. </w:t>
      </w:r>
      <w:r>
        <w:rPr>
          <w:rFonts w:ascii="Times New Roman" w:hAnsi="Times New Roman" w:cs="Times New Roman"/>
          <w:sz w:val="20"/>
          <w:szCs w:val="20"/>
        </w:rPr>
        <w:t>para. 55, where the Court of Appeal remarks: “</w:t>
      </w:r>
      <w:r>
        <w:rPr>
          <w:rStyle w:val="AlcmChar"/>
          <w:rFonts w:ascii="Times New Roman" w:eastAsiaTheme="minorHAnsi" w:hAnsi="Times New Roman"/>
          <w:sz w:val="20"/>
          <w:szCs w:val="20"/>
        </w:rPr>
        <w:t>whether this leaves such right-holders with inadequate</w:t>
      </w:r>
      <w:r>
        <w:rPr>
          <w:rFonts w:ascii="Times New Roman" w:hAnsi="Times New Roman" w:cs="Times New Roman"/>
          <w:spacing w:val="-23"/>
          <w:sz w:val="20"/>
          <w:szCs w:val="20"/>
          <w:lang w:val="ru-RU"/>
        </w:rPr>
        <w:t xml:space="preserve"> </w:t>
      </w:r>
      <w:r>
        <w:rPr>
          <w:rFonts w:ascii="Times New Roman" w:hAnsi="Times New Roman" w:cs="Times New Roman"/>
          <w:sz w:val="20"/>
          <w:szCs w:val="20"/>
        </w:rPr>
        <w:t>protection</w:t>
      </w:r>
      <w:r>
        <w:rPr>
          <w:rFonts w:ascii="Times New Roman" w:hAnsi="Times New Roman" w:cs="Times New Roman"/>
          <w:spacing w:val="-22"/>
          <w:sz w:val="20"/>
          <w:szCs w:val="20"/>
        </w:rPr>
        <w:t xml:space="preserve"> </w:t>
      </w:r>
      <w:r>
        <w:rPr>
          <w:rFonts w:ascii="Times New Roman" w:hAnsi="Times New Roman" w:cs="Times New Roman"/>
          <w:sz w:val="20"/>
          <w:szCs w:val="20"/>
        </w:rPr>
        <w:t>is</w:t>
      </w:r>
      <w:r>
        <w:rPr>
          <w:rFonts w:ascii="Times New Roman" w:hAnsi="Times New Roman" w:cs="Times New Roman"/>
          <w:spacing w:val="-30"/>
          <w:sz w:val="20"/>
          <w:szCs w:val="20"/>
        </w:rPr>
        <w:t xml:space="preserve"> </w:t>
      </w:r>
      <w:r>
        <w:rPr>
          <w:rFonts w:ascii="Times New Roman" w:hAnsi="Times New Roman" w:cs="Times New Roman"/>
          <w:sz w:val="20"/>
          <w:szCs w:val="20"/>
        </w:rPr>
        <w:t>not</w:t>
      </w:r>
      <w:r>
        <w:rPr>
          <w:rFonts w:ascii="Times New Roman" w:hAnsi="Times New Roman" w:cs="Times New Roman"/>
          <w:spacing w:val="-26"/>
          <w:sz w:val="20"/>
          <w:szCs w:val="20"/>
        </w:rPr>
        <w:t xml:space="preserve"> </w:t>
      </w:r>
      <w:r>
        <w:rPr>
          <w:rFonts w:ascii="Times New Roman" w:hAnsi="Times New Roman" w:cs="Times New Roman"/>
          <w:sz w:val="20"/>
          <w:szCs w:val="20"/>
        </w:rPr>
        <w:t>a</w:t>
      </w:r>
      <w:r>
        <w:rPr>
          <w:rFonts w:ascii="Times New Roman" w:hAnsi="Times New Roman" w:cs="Times New Roman"/>
          <w:spacing w:val="-33"/>
          <w:sz w:val="20"/>
          <w:szCs w:val="20"/>
        </w:rPr>
        <w:t xml:space="preserve"> </w:t>
      </w:r>
      <w:r>
        <w:rPr>
          <w:rFonts w:ascii="Times New Roman" w:hAnsi="Times New Roman" w:cs="Times New Roman"/>
          <w:sz w:val="20"/>
          <w:szCs w:val="20"/>
        </w:rPr>
        <w:t>matter</w:t>
      </w:r>
      <w:r>
        <w:rPr>
          <w:rFonts w:ascii="Times New Roman" w:hAnsi="Times New Roman" w:cs="Times New Roman"/>
          <w:spacing w:val="-23"/>
          <w:sz w:val="20"/>
          <w:szCs w:val="20"/>
        </w:rPr>
        <w:t xml:space="preserve"> </w:t>
      </w:r>
      <w:r>
        <w:rPr>
          <w:rFonts w:ascii="Times New Roman" w:hAnsi="Times New Roman" w:cs="Times New Roman"/>
          <w:sz w:val="20"/>
          <w:szCs w:val="20"/>
        </w:rPr>
        <w:t>which</w:t>
      </w:r>
      <w:r>
        <w:rPr>
          <w:rFonts w:ascii="Times New Roman" w:hAnsi="Times New Roman" w:cs="Times New Roman"/>
          <w:spacing w:val="-28"/>
          <w:sz w:val="20"/>
          <w:szCs w:val="20"/>
        </w:rPr>
        <w:t xml:space="preserve"> </w:t>
      </w:r>
      <w:r>
        <w:rPr>
          <w:rFonts w:ascii="Times New Roman" w:hAnsi="Times New Roman" w:cs="Times New Roman"/>
          <w:sz w:val="20"/>
          <w:szCs w:val="20"/>
        </w:rPr>
        <w:t>can</w:t>
      </w:r>
      <w:r>
        <w:rPr>
          <w:rFonts w:ascii="Times New Roman" w:hAnsi="Times New Roman" w:cs="Times New Roman"/>
          <w:spacing w:val="-31"/>
          <w:sz w:val="20"/>
          <w:szCs w:val="20"/>
        </w:rPr>
        <w:t xml:space="preserve"> </w:t>
      </w:r>
      <w:r>
        <w:rPr>
          <w:rFonts w:ascii="Times New Roman" w:hAnsi="Times New Roman" w:cs="Times New Roman"/>
          <w:sz w:val="20"/>
          <w:szCs w:val="20"/>
        </w:rPr>
        <w:t>alter</w:t>
      </w:r>
      <w:r>
        <w:rPr>
          <w:rFonts w:ascii="Times New Roman" w:hAnsi="Times New Roman" w:cs="Times New Roman"/>
          <w:spacing w:val="-25"/>
          <w:sz w:val="20"/>
          <w:szCs w:val="20"/>
        </w:rPr>
        <w:t xml:space="preserve"> </w:t>
      </w:r>
      <w:r>
        <w:rPr>
          <w:rFonts w:ascii="Times New Roman" w:hAnsi="Times New Roman" w:cs="Times New Roman"/>
          <w:sz w:val="20"/>
          <w:szCs w:val="20"/>
        </w:rPr>
        <w:t>the</w:t>
      </w:r>
      <w:r>
        <w:rPr>
          <w:rFonts w:ascii="Times New Roman" w:hAnsi="Times New Roman" w:cs="Times New Roman"/>
          <w:spacing w:val="-29"/>
          <w:sz w:val="20"/>
          <w:szCs w:val="20"/>
        </w:rPr>
        <w:t xml:space="preserve"> </w:t>
      </w:r>
      <w:r>
        <w:rPr>
          <w:rFonts w:ascii="Times New Roman" w:hAnsi="Times New Roman" w:cs="Times New Roman"/>
          <w:sz w:val="20"/>
          <w:szCs w:val="20"/>
        </w:rPr>
        <w:t>proper</w:t>
      </w:r>
      <w:r>
        <w:rPr>
          <w:rFonts w:ascii="Times New Roman" w:hAnsi="Times New Roman" w:cs="Times New Roman"/>
          <w:spacing w:val="-27"/>
          <w:sz w:val="20"/>
          <w:szCs w:val="20"/>
        </w:rPr>
        <w:t xml:space="preserve"> </w:t>
      </w:r>
      <w:r>
        <w:rPr>
          <w:rFonts w:ascii="Times New Roman" w:hAnsi="Times New Roman" w:cs="Times New Roman"/>
          <w:sz w:val="20"/>
          <w:szCs w:val="20"/>
        </w:rPr>
        <w:t>construction</w:t>
      </w:r>
      <w:r>
        <w:rPr>
          <w:rFonts w:ascii="Times New Roman" w:hAnsi="Times New Roman" w:cs="Times New Roman"/>
          <w:spacing w:val="-22"/>
          <w:sz w:val="20"/>
          <w:szCs w:val="20"/>
        </w:rPr>
        <w:t xml:space="preserve"> </w:t>
      </w:r>
      <w:r>
        <w:rPr>
          <w:rFonts w:ascii="Times New Roman" w:hAnsi="Times New Roman" w:cs="Times New Roman"/>
          <w:sz w:val="20"/>
          <w:szCs w:val="20"/>
        </w:rPr>
        <w:t>of</w:t>
      </w:r>
      <w:r>
        <w:rPr>
          <w:rFonts w:ascii="Times New Roman" w:hAnsi="Times New Roman" w:cs="Times New Roman"/>
          <w:spacing w:val="-35"/>
          <w:sz w:val="20"/>
          <w:szCs w:val="20"/>
        </w:rPr>
        <w:t xml:space="preserve">   </w:t>
      </w:r>
      <w:r>
        <w:rPr>
          <w:rStyle w:val="AlcmChar"/>
          <w:rFonts w:ascii="Times New Roman" w:eastAsiaTheme="minorHAnsi" w:hAnsi="Times New Roman"/>
          <w:sz w:val="20"/>
          <w:szCs w:val="20"/>
        </w:rPr>
        <w:t>the legislation</w:t>
      </w:r>
      <w:r>
        <w:rPr>
          <w:rFonts w:ascii="Times New Roman" w:hAnsi="Times New Roman" w:cs="Times New Roman"/>
          <w:sz w:val="20"/>
          <w:szCs w:val="20"/>
        </w:rPr>
        <w:t xml:space="preserve">”. Also </w:t>
      </w:r>
      <w:r>
        <w:rPr>
          <w:rFonts w:ascii="Times New Roman" w:hAnsi="Times New Roman" w:cs="Times New Roman"/>
          <w:i/>
          <w:sz w:val="20"/>
          <w:szCs w:val="20"/>
        </w:rPr>
        <w:t xml:space="preserve">see </w:t>
      </w:r>
      <w:r>
        <w:rPr>
          <w:rFonts w:ascii="Times New Roman" w:hAnsi="Times New Roman" w:cs="Times New Roman"/>
          <w:sz w:val="20"/>
          <w:szCs w:val="20"/>
        </w:rPr>
        <w:t>para. 70 where its states as follows: “</w:t>
      </w:r>
      <w:r>
        <w:rPr>
          <w:rStyle w:val="AlcmChar"/>
          <w:rFonts w:ascii="Times New Roman" w:eastAsiaTheme="minorHAnsi" w:hAnsi="Times New Roman"/>
          <w:sz w:val="20"/>
          <w:szCs w:val="20"/>
        </w:rPr>
        <w:t>It may be that the legislative regime is ineffective in practice adequately to protect the fights of performers who do not actively manage their righ</w:t>
      </w:r>
      <w:r>
        <w:rPr>
          <w:rStyle w:val="AlcmChar"/>
          <w:rFonts w:ascii="Times New Roman" w:eastAsiaTheme="minorHAnsi" w:hAnsi="Times New Roman"/>
          <w:sz w:val="20"/>
          <w:szCs w:val="20"/>
          <w:lang w:val="hu-HU"/>
        </w:rPr>
        <w:t>ts</w:t>
      </w:r>
      <w:r>
        <w:rPr>
          <w:rStyle w:val="AlcmChar"/>
          <w:rFonts w:ascii="Times New Roman" w:eastAsiaTheme="minorHAnsi" w:hAnsi="Times New Roman"/>
          <w:sz w:val="20"/>
          <w:szCs w:val="20"/>
        </w:rPr>
        <w:t xml:space="preserve">, either individually or by authorising a </w:t>
      </w:r>
      <w:r>
        <w:rPr>
          <w:rStyle w:val="AlcmChar"/>
          <w:rFonts w:ascii="Times New Roman" w:eastAsiaTheme="minorHAnsi" w:hAnsi="Times New Roman"/>
          <w:sz w:val="20"/>
          <w:szCs w:val="20"/>
          <w:lang w:val="hu-HU"/>
        </w:rPr>
        <w:t>cmo</w:t>
      </w:r>
      <w:r>
        <w:rPr>
          <w:rStyle w:val="AlcmChar"/>
          <w:rFonts w:ascii="Times New Roman" w:eastAsiaTheme="minorHAnsi" w:hAnsi="Times New Roman"/>
          <w:sz w:val="20"/>
          <w:szCs w:val="20"/>
        </w:rPr>
        <w:t xml:space="preserve"> to manage their rights.</w:t>
      </w:r>
      <w:r>
        <w:rPr>
          <w:rFonts w:ascii="Times New Roman" w:hAnsi="Times New Roman" w:cs="Times New Roman"/>
          <w:w w:val="95"/>
          <w:sz w:val="20"/>
          <w:szCs w:val="20"/>
          <w:lang w:val="ru-RU"/>
        </w:rPr>
        <w:t xml:space="preserve"> </w:t>
      </w:r>
      <w:r>
        <w:rPr>
          <w:rFonts w:ascii="Times New Roman" w:hAnsi="Times New Roman" w:cs="Times New Roman"/>
          <w:sz w:val="20"/>
          <w:szCs w:val="20"/>
        </w:rPr>
        <w:t>That</w:t>
      </w:r>
      <w:r>
        <w:rPr>
          <w:rFonts w:ascii="Times New Roman" w:hAnsi="Times New Roman" w:cs="Times New Roman"/>
          <w:spacing w:val="-29"/>
          <w:sz w:val="20"/>
          <w:szCs w:val="20"/>
        </w:rPr>
        <w:t xml:space="preserve"> </w:t>
      </w:r>
      <w:r>
        <w:rPr>
          <w:rFonts w:ascii="Times New Roman" w:hAnsi="Times New Roman" w:cs="Times New Roman"/>
          <w:sz w:val="20"/>
          <w:szCs w:val="20"/>
        </w:rPr>
        <w:t>is</w:t>
      </w:r>
      <w:r>
        <w:rPr>
          <w:rFonts w:ascii="Times New Roman" w:hAnsi="Times New Roman" w:cs="Times New Roman"/>
          <w:spacing w:val="-34"/>
          <w:sz w:val="20"/>
          <w:szCs w:val="20"/>
        </w:rPr>
        <w:t xml:space="preserve"> </w:t>
      </w:r>
      <w:r>
        <w:rPr>
          <w:rFonts w:ascii="Times New Roman" w:hAnsi="Times New Roman" w:cs="Times New Roman"/>
          <w:sz w:val="20"/>
          <w:szCs w:val="20"/>
        </w:rPr>
        <w:t>a</w:t>
      </w:r>
      <w:r>
        <w:rPr>
          <w:rFonts w:ascii="Times New Roman" w:hAnsi="Times New Roman" w:cs="Times New Roman"/>
          <w:spacing w:val="-37"/>
          <w:sz w:val="20"/>
          <w:szCs w:val="20"/>
        </w:rPr>
        <w:t xml:space="preserve"> </w:t>
      </w:r>
      <w:r>
        <w:rPr>
          <w:rFonts w:ascii="Times New Roman" w:hAnsi="Times New Roman" w:cs="Times New Roman"/>
          <w:sz w:val="20"/>
          <w:szCs w:val="20"/>
        </w:rPr>
        <w:t>matter</w:t>
      </w:r>
      <w:r>
        <w:rPr>
          <w:rFonts w:ascii="Times New Roman" w:hAnsi="Times New Roman" w:cs="Times New Roman"/>
          <w:spacing w:val="-24"/>
          <w:sz w:val="20"/>
          <w:szCs w:val="20"/>
        </w:rPr>
        <w:t xml:space="preserve"> </w:t>
      </w:r>
      <w:r>
        <w:rPr>
          <w:rFonts w:ascii="Times New Roman" w:hAnsi="Times New Roman" w:cs="Times New Roman"/>
          <w:sz w:val="20"/>
          <w:szCs w:val="20"/>
        </w:rPr>
        <w:t>upon</w:t>
      </w:r>
      <w:r>
        <w:rPr>
          <w:rFonts w:ascii="Times New Roman" w:hAnsi="Times New Roman" w:cs="Times New Roman"/>
          <w:spacing w:val="-25"/>
          <w:sz w:val="20"/>
          <w:szCs w:val="20"/>
        </w:rPr>
        <w:t xml:space="preserve"> </w:t>
      </w:r>
      <w:r>
        <w:rPr>
          <w:rFonts w:ascii="Times New Roman" w:hAnsi="Times New Roman" w:cs="Times New Roman"/>
          <w:sz w:val="20"/>
          <w:szCs w:val="20"/>
        </w:rPr>
        <w:t>which I</w:t>
      </w:r>
      <w:r w:rsidR="00BA7DA9">
        <w:rPr>
          <w:rFonts w:ascii="Times New Roman" w:hAnsi="Times New Roman" w:cs="Times New Roman"/>
          <w:sz w:val="20"/>
          <w:szCs w:val="20"/>
        </w:rPr>
        <w:t xml:space="preserve"> </w:t>
      </w:r>
      <w:r>
        <w:rPr>
          <w:rFonts w:ascii="Times New Roman" w:hAnsi="Times New Roman" w:cs="Times New Roman"/>
          <w:spacing w:val="-32"/>
          <w:sz w:val="20"/>
          <w:szCs w:val="20"/>
        </w:rPr>
        <w:t xml:space="preserve"> </w:t>
      </w:r>
      <w:r>
        <w:rPr>
          <w:rFonts w:ascii="Times New Roman" w:hAnsi="Times New Roman" w:cs="Times New Roman"/>
          <w:sz w:val="20"/>
          <w:szCs w:val="20"/>
        </w:rPr>
        <w:t>make</w:t>
      </w:r>
      <w:r>
        <w:rPr>
          <w:rFonts w:ascii="Times New Roman" w:hAnsi="Times New Roman" w:cs="Times New Roman"/>
          <w:spacing w:val="-28"/>
          <w:sz w:val="20"/>
          <w:szCs w:val="20"/>
        </w:rPr>
        <w:t xml:space="preserve"> </w:t>
      </w:r>
      <w:r w:rsidR="00BA7DA9">
        <w:rPr>
          <w:rFonts w:ascii="Times New Roman" w:hAnsi="Times New Roman" w:cs="Times New Roman"/>
          <w:spacing w:val="-28"/>
          <w:sz w:val="20"/>
          <w:szCs w:val="20"/>
        </w:rPr>
        <w:t xml:space="preserve"> </w:t>
      </w:r>
      <w:r>
        <w:rPr>
          <w:rFonts w:ascii="Times New Roman" w:hAnsi="Times New Roman" w:cs="Times New Roman"/>
          <w:sz w:val="20"/>
          <w:szCs w:val="20"/>
        </w:rPr>
        <w:t>no</w:t>
      </w:r>
      <w:r>
        <w:rPr>
          <w:rFonts w:ascii="Times New Roman" w:hAnsi="Times New Roman" w:cs="Times New Roman"/>
          <w:spacing w:val="-36"/>
          <w:sz w:val="20"/>
          <w:szCs w:val="20"/>
        </w:rPr>
        <w:t xml:space="preserve"> </w:t>
      </w:r>
      <w:r>
        <w:rPr>
          <w:rFonts w:ascii="Times New Roman" w:hAnsi="Times New Roman" w:cs="Times New Roman"/>
          <w:sz w:val="20"/>
          <w:szCs w:val="20"/>
        </w:rPr>
        <w:t>observation.</w:t>
      </w:r>
      <w:r>
        <w:rPr>
          <w:rFonts w:ascii="Times New Roman" w:hAnsi="Times New Roman" w:cs="Times New Roman"/>
          <w:spacing w:val="10"/>
          <w:sz w:val="20"/>
          <w:szCs w:val="20"/>
        </w:rPr>
        <w:t xml:space="preserve"> </w:t>
      </w:r>
      <w:r>
        <w:rPr>
          <w:rFonts w:ascii="Times New Roman" w:hAnsi="Times New Roman" w:cs="Times New Roman"/>
          <w:sz w:val="20"/>
          <w:szCs w:val="20"/>
        </w:rPr>
        <w:t>But,</w:t>
      </w:r>
      <w:r>
        <w:rPr>
          <w:rFonts w:ascii="Times New Roman" w:hAnsi="Times New Roman" w:cs="Times New Roman"/>
          <w:spacing w:val="-32"/>
          <w:sz w:val="20"/>
          <w:szCs w:val="20"/>
        </w:rPr>
        <w:t xml:space="preserve"> </w:t>
      </w:r>
      <w:r>
        <w:rPr>
          <w:rFonts w:ascii="Times New Roman" w:hAnsi="Times New Roman" w:cs="Times New Roman"/>
          <w:sz w:val="20"/>
          <w:szCs w:val="20"/>
        </w:rPr>
        <w:t>that</w:t>
      </w:r>
      <w:r>
        <w:rPr>
          <w:rFonts w:ascii="Times New Roman" w:hAnsi="Times New Roman" w:cs="Times New Roman"/>
          <w:spacing w:val="-29"/>
          <w:sz w:val="20"/>
          <w:szCs w:val="20"/>
        </w:rPr>
        <w:t xml:space="preserve"> </w:t>
      </w:r>
      <w:r>
        <w:rPr>
          <w:rFonts w:ascii="Times New Roman" w:hAnsi="Times New Roman" w:cs="Times New Roman"/>
          <w:sz w:val="20"/>
          <w:szCs w:val="20"/>
        </w:rPr>
        <w:t>cannot</w:t>
      </w:r>
      <w:r>
        <w:rPr>
          <w:rFonts w:ascii="Times New Roman" w:hAnsi="Times New Roman" w:cs="Times New Roman"/>
          <w:spacing w:val="-25"/>
          <w:sz w:val="20"/>
          <w:szCs w:val="20"/>
        </w:rPr>
        <w:t xml:space="preserve"> </w:t>
      </w:r>
      <w:r>
        <w:rPr>
          <w:rFonts w:ascii="Times New Roman" w:hAnsi="Times New Roman" w:cs="Times New Roman"/>
          <w:sz w:val="20"/>
          <w:szCs w:val="20"/>
        </w:rPr>
        <w:t>alter</w:t>
      </w:r>
      <w:r w:rsidR="00BA7DA9">
        <w:rPr>
          <w:rFonts w:ascii="Times New Roman" w:hAnsi="Times New Roman" w:cs="Times New Roman"/>
          <w:sz w:val="20"/>
          <w:szCs w:val="20"/>
        </w:rPr>
        <w:t xml:space="preserve"> </w:t>
      </w:r>
      <w:r>
        <w:rPr>
          <w:rFonts w:ascii="Times New Roman" w:hAnsi="Times New Roman" w:cs="Times New Roman"/>
          <w:sz w:val="20"/>
          <w:szCs w:val="20"/>
        </w:rPr>
        <w:t>the</w:t>
      </w:r>
      <w:r>
        <w:rPr>
          <w:rFonts w:ascii="Times New Roman" w:hAnsi="Times New Roman" w:cs="Times New Roman"/>
          <w:spacing w:val="-30"/>
          <w:sz w:val="20"/>
          <w:szCs w:val="20"/>
        </w:rPr>
        <w:t xml:space="preserve"> </w:t>
      </w:r>
      <w:r w:rsidR="00BA7DA9">
        <w:rPr>
          <w:rFonts w:ascii="Times New Roman" w:hAnsi="Times New Roman" w:cs="Times New Roman"/>
          <w:spacing w:val="-30"/>
          <w:sz w:val="20"/>
          <w:szCs w:val="20"/>
        </w:rPr>
        <w:t xml:space="preserve"> </w:t>
      </w:r>
      <w:r>
        <w:rPr>
          <w:rFonts w:ascii="Times New Roman" w:hAnsi="Times New Roman" w:cs="Times New Roman"/>
          <w:sz w:val="20"/>
          <w:szCs w:val="20"/>
        </w:rPr>
        <w:t>proper construction</w:t>
      </w:r>
      <w:r>
        <w:rPr>
          <w:rFonts w:ascii="Times New Roman" w:hAnsi="Times New Roman" w:cs="Times New Roman"/>
          <w:spacing w:val="-4"/>
          <w:sz w:val="20"/>
          <w:szCs w:val="20"/>
        </w:rPr>
        <w:t xml:space="preserve"> </w:t>
      </w:r>
      <w:r>
        <w:rPr>
          <w:rFonts w:ascii="Times New Roman" w:hAnsi="Times New Roman" w:cs="Times New Roman"/>
          <w:sz w:val="20"/>
          <w:szCs w:val="20"/>
        </w:rPr>
        <w:t>of</w:t>
      </w:r>
      <w:r>
        <w:rPr>
          <w:rFonts w:ascii="Times New Roman" w:hAnsi="Times New Roman" w:cs="Times New Roman"/>
          <w:spacing w:val="-13"/>
          <w:sz w:val="20"/>
          <w:szCs w:val="20"/>
        </w:rPr>
        <w:t xml:space="preserve"> </w:t>
      </w:r>
      <w:r>
        <w:rPr>
          <w:rFonts w:ascii="Times New Roman" w:hAnsi="Times New Roman" w:cs="Times New Roman"/>
          <w:sz w:val="20"/>
          <w:szCs w:val="20"/>
        </w:rPr>
        <w:t>the</w:t>
      </w:r>
      <w:r>
        <w:rPr>
          <w:rFonts w:ascii="Times New Roman" w:hAnsi="Times New Roman" w:cs="Times New Roman"/>
          <w:spacing w:val="-20"/>
          <w:sz w:val="20"/>
          <w:szCs w:val="20"/>
        </w:rPr>
        <w:t xml:space="preserve"> </w:t>
      </w:r>
      <w:r>
        <w:rPr>
          <w:rFonts w:ascii="Times New Roman" w:hAnsi="Times New Roman" w:cs="Times New Roman"/>
          <w:sz w:val="20"/>
          <w:szCs w:val="20"/>
        </w:rPr>
        <w:t>statute</w:t>
      </w:r>
      <w:r>
        <w:rPr>
          <w:rFonts w:ascii="Times New Roman" w:hAnsi="Times New Roman" w:cs="Times New Roman"/>
          <w:spacing w:val="-16"/>
          <w:sz w:val="20"/>
          <w:szCs w:val="20"/>
        </w:rPr>
        <w:t xml:space="preserve"> </w:t>
      </w:r>
      <w:r>
        <w:rPr>
          <w:rFonts w:ascii="Times New Roman" w:hAnsi="Times New Roman" w:cs="Times New Roman"/>
          <w:sz w:val="20"/>
          <w:szCs w:val="20"/>
        </w:rPr>
        <w:t>as</w:t>
      </w:r>
      <w:r>
        <w:rPr>
          <w:rFonts w:ascii="Times New Roman" w:hAnsi="Times New Roman" w:cs="Times New Roman"/>
          <w:spacing w:val="-19"/>
          <w:sz w:val="20"/>
          <w:szCs w:val="20"/>
        </w:rPr>
        <w:t xml:space="preserve"> </w:t>
      </w:r>
      <w:r>
        <w:rPr>
          <w:rFonts w:ascii="Times New Roman" w:hAnsi="Times New Roman" w:cs="Times New Roman"/>
          <w:sz w:val="20"/>
          <w:szCs w:val="20"/>
        </w:rPr>
        <w:t>enacted,</w:t>
      </w:r>
      <w:r>
        <w:rPr>
          <w:rFonts w:ascii="Times New Roman" w:hAnsi="Times New Roman" w:cs="Times New Roman"/>
          <w:spacing w:val="-18"/>
          <w:sz w:val="20"/>
          <w:szCs w:val="20"/>
        </w:rPr>
        <w:t xml:space="preserve"> </w:t>
      </w:r>
      <w:r>
        <w:rPr>
          <w:rFonts w:ascii="Times New Roman" w:hAnsi="Times New Roman" w:cs="Times New Roman"/>
          <w:sz w:val="20"/>
          <w:szCs w:val="20"/>
        </w:rPr>
        <w:t>and</w:t>
      </w:r>
      <w:r>
        <w:rPr>
          <w:rFonts w:ascii="Times New Roman" w:hAnsi="Times New Roman" w:cs="Times New Roman"/>
          <w:spacing w:val="-7"/>
          <w:sz w:val="20"/>
          <w:szCs w:val="20"/>
        </w:rPr>
        <w:t xml:space="preserve"> </w:t>
      </w:r>
      <w:r>
        <w:rPr>
          <w:rFonts w:ascii="Times New Roman" w:hAnsi="Times New Roman" w:cs="Times New Roman"/>
          <w:sz w:val="20"/>
          <w:szCs w:val="20"/>
        </w:rPr>
        <w:t>in</w:t>
      </w:r>
      <w:r>
        <w:rPr>
          <w:rFonts w:ascii="Times New Roman" w:hAnsi="Times New Roman" w:cs="Times New Roman"/>
          <w:spacing w:val="-15"/>
          <w:sz w:val="20"/>
          <w:szCs w:val="20"/>
        </w:rPr>
        <w:t xml:space="preserve"> </w:t>
      </w:r>
      <w:r>
        <w:rPr>
          <w:rFonts w:ascii="Times New Roman" w:hAnsi="Times New Roman" w:cs="Times New Roman"/>
          <w:sz w:val="20"/>
          <w:szCs w:val="20"/>
        </w:rPr>
        <w:t>light</w:t>
      </w:r>
      <w:r>
        <w:rPr>
          <w:rFonts w:ascii="Times New Roman" w:hAnsi="Times New Roman" w:cs="Times New Roman"/>
          <w:spacing w:val="-9"/>
          <w:sz w:val="20"/>
          <w:szCs w:val="20"/>
        </w:rPr>
        <w:t xml:space="preserve"> </w:t>
      </w:r>
      <w:r>
        <w:rPr>
          <w:rFonts w:ascii="Times New Roman" w:hAnsi="Times New Roman" w:cs="Times New Roman"/>
          <w:sz w:val="20"/>
          <w:szCs w:val="20"/>
        </w:rPr>
        <w:t>of</w:t>
      </w:r>
      <w:r>
        <w:rPr>
          <w:rFonts w:ascii="Times New Roman" w:hAnsi="Times New Roman" w:cs="Times New Roman"/>
          <w:spacing w:val="-16"/>
          <w:sz w:val="20"/>
          <w:szCs w:val="20"/>
        </w:rPr>
        <w:t xml:space="preserve"> </w:t>
      </w:r>
      <w:r>
        <w:rPr>
          <w:rFonts w:ascii="Times New Roman" w:hAnsi="Times New Roman" w:cs="Times New Roman"/>
          <w:sz w:val="20"/>
          <w:szCs w:val="20"/>
        </w:rPr>
        <w:t>existing</w:t>
      </w:r>
      <w:r>
        <w:rPr>
          <w:rFonts w:ascii="Times New Roman" w:hAnsi="Times New Roman" w:cs="Times New Roman"/>
          <w:spacing w:val="-11"/>
          <w:sz w:val="20"/>
          <w:szCs w:val="20"/>
        </w:rPr>
        <w:t xml:space="preserve"> EU</w:t>
      </w:r>
      <w:r>
        <w:rPr>
          <w:rFonts w:ascii="Times New Roman" w:hAnsi="Times New Roman" w:cs="Times New Roman"/>
          <w:spacing w:val="-7"/>
          <w:sz w:val="20"/>
          <w:szCs w:val="20"/>
        </w:rPr>
        <w:t xml:space="preserve"> </w:t>
      </w:r>
      <w:r>
        <w:rPr>
          <w:rFonts w:ascii="Times New Roman" w:hAnsi="Times New Roman" w:cs="Times New Roman"/>
          <w:sz w:val="20"/>
          <w:szCs w:val="20"/>
        </w:rPr>
        <w:t>law.”</w:t>
      </w:r>
    </w:p>
  </w:footnote>
  <w:footnote w:id="26">
    <w:p w:rsidR="00BA7DA9" w:rsidRDefault="00BA7DA9" w:rsidP="00BA7DA9">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See para.101 of the judgement of the referring court which reads as follows: </w:t>
      </w:r>
    </w:p>
    <w:p w:rsidR="00BA7DA9" w:rsidRDefault="00BA7DA9" w:rsidP="00BA7DA9">
      <w:pPr>
        <w:shd w:val="clear" w:color="auto" w:fill="FFFFFF"/>
        <w:spacing w:after="0" w:line="240" w:lineRule="auto"/>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PPI argue that—as a consequence of the USA having entered its reservation under article 15(3)—there was no obligation at all to provide any reciprocal rights to US producers or performers. The fact that the Irish State was relieved of its obligation under article 4 of the WPPT in respect of US domiciles and residents did not, however, preclude the Irish State from providing copyright protection on a </w:t>
      </w:r>
      <w:r>
        <w:rPr>
          <w:rFonts w:ascii="Times New Roman" w:eastAsia="Times New Roman" w:hAnsi="Times New Roman" w:cs="Times New Roman"/>
          <w:i/>
          <w:iCs/>
          <w:sz w:val="20"/>
          <w:szCs w:val="20"/>
        </w:rPr>
        <w:t>voluntary </w:t>
      </w:r>
      <w:r>
        <w:rPr>
          <w:rFonts w:ascii="Times New Roman" w:eastAsia="Times New Roman" w:hAnsi="Times New Roman" w:cs="Times New Roman"/>
          <w:sz w:val="20"/>
          <w:szCs w:val="20"/>
        </w:rPr>
        <w:t>basis. Thus, whereas there was no obligation under the WPPT to do so, Ireland was entitled to lay down eligibility criteria in such a way that US producers might qualify to be paid equitable remuneration in certain circumstances.</w:t>
      </w:r>
    </w:p>
    <w:p w:rsidR="00BA7DA9" w:rsidRDefault="00BA7DA9" w:rsidP="00BA7DA9">
      <w:pPr>
        <w:pStyle w:val="Lbjegyzetszveg"/>
        <w:rPr>
          <w:rFonts w:ascii="Times New Roman" w:hAnsi="Times New Roman" w:cs="Times New Roman"/>
          <w:lang w:val="hu-HU"/>
        </w:rPr>
      </w:pPr>
      <w:r>
        <w:rPr>
          <w:rFonts w:ascii="Times New Roman" w:hAnsi="Times New Roman" w:cs="Times New Roman"/>
        </w:rPr>
        <w:t xml:space="preserve">:  </w:t>
      </w:r>
    </w:p>
  </w:footnote>
  <w:footnote w:id="27">
    <w:p w:rsidR="00387EC1" w:rsidRPr="00387EC1" w:rsidRDefault="00387EC1">
      <w:pPr>
        <w:pStyle w:val="Lbjegyzetszveg"/>
      </w:pPr>
      <w:r>
        <w:rPr>
          <w:rStyle w:val="Lbjegyzet-hivatkozs"/>
        </w:rPr>
        <w:footnoteRef/>
      </w:r>
      <w:r>
        <w:t xml:space="preserve"> </w:t>
      </w:r>
    </w:p>
  </w:footnote>
  <w:footnote w:id="28">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In sections 287(c) and 289 of the SCCR, as quoted above, this is foreseen also in respect performers’ rights, but as discussed, no such order had been adopted before the judgment in </w:t>
      </w:r>
      <w:r>
        <w:rPr>
          <w:rFonts w:ascii="Times New Roman" w:hAnsi="Times New Roman" w:cs="Times New Roman"/>
          <w:i/>
        </w:rPr>
        <w:t>RAAP.</w:t>
      </w:r>
      <w:r>
        <w:rPr>
          <w:rFonts w:ascii="Times New Roman" w:hAnsi="Times New Roman" w:cs="Times New Roman"/>
        </w:rPr>
        <w:t xml:space="preserve"> </w:t>
      </w:r>
    </w:p>
  </w:footnote>
  <w:footnote w:id="29">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See, for example, Article 97(2) of the Copyright Law of Austria, Article L 511-11 of the Intellectual Property Code of France, Section 125(5) of the Copyright Law of Germany, Article 90(4) of the Copyright Law of Poland or Article 200(3) of the Intellectual Property Code of Spain.    </w:t>
      </w:r>
    </w:p>
  </w:footnote>
  <w:footnote w:id="30">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Case C-245/00 (ECLI:EU:C:2003:68).</w:t>
      </w:r>
    </w:p>
  </w:footnote>
  <w:footnote w:id="31">
    <w:p w:rsidR="00494D93" w:rsidRDefault="00494D93" w:rsidP="00494D93">
      <w:pPr>
        <w:shd w:val="clear" w:color="auto" w:fill="FFFFFF"/>
        <w:spacing w:after="0" w:line="240" w:lineRule="auto"/>
        <w:jc w:val="both"/>
        <w:rPr>
          <w:rFonts w:ascii="Times New Roman" w:hAnsi="Times New Roman" w:cs="Times New Roman"/>
          <w:sz w:val="20"/>
          <w:szCs w:val="20"/>
        </w:rPr>
      </w:pPr>
      <w:r>
        <w:rPr>
          <w:rStyle w:val="Lbjegyzet-hivatkozs"/>
          <w:rFonts w:ascii="Times New Roman" w:hAnsi="Times New Roman" w:cs="Times New Roman"/>
          <w:sz w:val="20"/>
          <w:szCs w:val="20"/>
        </w:rPr>
        <w:footnoteRef/>
      </w:r>
      <w:r>
        <w:rPr>
          <w:rFonts w:ascii="Times New Roman" w:hAnsi="Times New Roman" w:cs="Times New Roman"/>
          <w:sz w:val="20"/>
          <w:szCs w:val="20"/>
        </w:rPr>
        <w:t xml:space="preserve"> The AG’s opinion reads as follows: </w:t>
      </w:r>
    </w:p>
    <w:p w:rsidR="00494D93" w:rsidRDefault="00494D93" w:rsidP="00494D93">
      <w:pPr>
        <w:shd w:val="clear" w:color="auto" w:fill="FFFFFF"/>
        <w:spacing w:after="0" w:line="240" w:lineRule="auto"/>
        <w:ind w:left="284"/>
        <w:jc w:val="both"/>
        <w:rPr>
          <w:rFonts w:ascii="Times New Roman" w:eastAsia="Times New Roman" w:hAnsi="Times New Roman" w:cs="Times New Roman"/>
          <w:color w:val="333333"/>
          <w:sz w:val="20"/>
          <w:szCs w:val="20"/>
        </w:rPr>
      </w:pPr>
      <w:r>
        <w:rPr>
          <w:rFonts w:ascii="Times New Roman" w:hAnsi="Times New Roman" w:cs="Times New Roman"/>
          <w:sz w:val="20"/>
          <w:szCs w:val="20"/>
        </w:rPr>
        <w:t>[T]</w:t>
      </w:r>
      <w:r>
        <w:rPr>
          <w:rFonts w:ascii="Times New Roman" w:eastAsia="Times New Roman" w:hAnsi="Times New Roman" w:cs="Times New Roman"/>
          <w:color w:val="333333"/>
          <w:sz w:val="20"/>
          <w:szCs w:val="20"/>
        </w:rPr>
        <w:t>he scope of the prohibition of discrimination on grounds of nationality in this area extends beyond the terms of Article 12 EC alone. In fact, as far as related rights are concerned, that prohibition encompasses a range of operators who, although citizens of third countries and therefore not protected under Article 12 EC, enjoy the protection provided by the World Trade Organisation TRIPS Agreement and</w:t>
      </w:r>
      <w:r>
        <w:rPr>
          <w:rFonts w:ascii="Arial" w:eastAsia="Times New Roman" w:hAnsi="Arial" w:cs="Arial"/>
          <w:color w:val="333333"/>
          <w:sz w:val="20"/>
          <w:szCs w:val="20"/>
        </w:rPr>
        <w:t xml:space="preserve"> </w:t>
      </w:r>
      <w:r>
        <w:rPr>
          <w:rFonts w:ascii="Times New Roman" w:eastAsia="Times New Roman" w:hAnsi="Times New Roman" w:cs="Times New Roman"/>
          <w:color w:val="333333"/>
          <w:sz w:val="20"/>
          <w:szCs w:val="20"/>
        </w:rPr>
        <w:t>the Rome Convention.</w:t>
      </w:r>
    </w:p>
    <w:p w:rsidR="00494D93" w:rsidRDefault="00494D93" w:rsidP="00494D93">
      <w:pPr>
        <w:pStyle w:val="Lbjegyzetszveg"/>
        <w:ind w:left="284"/>
        <w:jc w:val="both"/>
        <w:rPr>
          <w:rFonts w:ascii="Times New Roman" w:hAnsi="Times New Roman" w:cs="Times New Roman"/>
          <w:lang w:val="hu-HU"/>
        </w:rPr>
      </w:pPr>
      <w:r>
        <w:rPr>
          <w:rFonts w:ascii="Times New Roman" w:eastAsia="Times New Roman" w:hAnsi="Times New Roman" w:cs="Times New Roman"/>
          <w:color w:val="333333"/>
        </w:rPr>
        <w:t>The TRIPS Agreement binds the Community and all its Member States; it is also common ground that, notwithstanding the debate on its direct applicability, the rules on national treatment which it contains are an integral part of the law with which the Court must ensure compliance, in accordance with Article 220 EC. The effect of the reference</w:t>
      </w:r>
      <w:r>
        <w:rPr>
          <w:rFonts w:ascii="Arial" w:eastAsia="Times New Roman" w:hAnsi="Arial" w:cs="Arial"/>
          <w:color w:val="333333"/>
        </w:rPr>
        <w:t xml:space="preserve"> </w:t>
      </w:r>
      <w:r>
        <w:rPr>
          <w:rFonts w:ascii="Times New Roman" w:eastAsia="Times New Roman" w:hAnsi="Times New Roman" w:cs="Times New Roman"/>
          <w:color w:val="333333"/>
        </w:rPr>
        <w:t xml:space="preserve">in Article 1(3) of the TRIPS Agreement is to incorporate within it Articles 2, 4 and 5 of the Rome Convention, which require the application of the principle of national treatment to a broad category of operators and situations that have no defined link with the Community, be it membership or establishment, and are not therefore, in principle, protected under Article 12 EC. Consequently, it is as a result of those provisions of TRIPS and the Rome Convention, as well as the provisions of Article 12 EC, that the freedom of action of the Member States in applying the Directive, and particularly Article 8(2) thereof, is limited.(ECLI:EU:C:2002: 543, paras 43-25).  </w:t>
      </w:r>
    </w:p>
  </w:footnote>
  <w:footnote w:id="32">
    <w:p w:rsidR="00494D93" w:rsidRDefault="00494D93" w:rsidP="00494D93">
      <w:pPr>
        <w:pStyle w:val="Lbjegyzetszveg"/>
        <w:jc w:val="both"/>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See, </w:t>
      </w:r>
      <w:r>
        <w:rPr>
          <w:rFonts w:ascii="Times New Roman" w:eastAsia="Times New Roman" w:hAnsi="Times New Roman" w:cs="Times New Roman"/>
          <w:i/>
          <w:color w:val="000000"/>
        </w:rPr>
        <w:t>inter alia</w:t>
      </w:r>
      <w:r>
        <w:rPr>
          <w:rFonts w:ascii="Times New Roman" w:eastAsia="Times New Roman" w:hAnsi="Times New Roman" w:cs="Times New Roman"/>
          <w:color w:val="000000"/>
        </w:rPr>
        <w:t>, judgments of 30 April 1974, </w:t>
      </w:r>
      <w:r>
        <w:rPr>
          <w:rFonts w:ascii="Times New Roman" w:eastAsia="Times New Roman" w:hAnsi="Times New Roman" w:cs="Times New Roman"/>
          <w:i/>
          <w:iCs/>
          <w:color w:val="000000"/>
        </w:rPr>
        <w:t>Haegeman</w:t>
      </w:r>
      <w:r>
        <w:rPr>
          <w:rFonts w:ascii="Times New Roman" w:eastAsia="Times New Roman" w:hAnsi="Times New Roman" w:cs="Times New Roman"/>
          <w:color w:val="000000"/>
        </w:rPr>
        <w:t>, 181/73, EU:C:1974:41, paragraph 5, and of 11 April 2013, </w:t>
      </w:r>
      <w:r>
        <w:rPr>
          <w:rFonts w:ascii="Times New Roman" w:eastAsia="Times New Roman" w:hAnsi="Times New Roman" w:cs="Times New Roman"/>
          <w:i/>
          <w:iCs/>
          <w:color w:val="000000"/>
        </w:rPr>
        <w:t>HK Danmark</w:t>
      </w:r>
      <w:r>
        <w:rPr>
          <w:rFonts w:ascii="Times New Roman" w:eastAsia="Times New Roman" w:hAnsi="Times New Roman" w:cs="Times New Roman"/>
          <w:color w:val="000000"/>
        </w:rPr>
        <w:t>, C</w:t>
      </w:r>
      <w:r>
        <w:rPr>
          <w:rFonts w:ascii="Times New Roman" w:eastAsia="Times New Roman" w:hAnsi="Times New Roman" w:cs="Times New Roman"/>
          <w:color w:val="000000"/>
        </w:rPr>
        <w:noBreakHyphen/>
        <w:t>335/11 and C</w:t>
      </w:r>
      <w:r>
        <w:rPr>
          <w:rFonts w:ascii="Times New Roman" w:eastAsia="Times New Roman" w:hAnsi="Times New Roman" w:cs="Times New Roman"/>
          <w:color w:val="000000"/>
        </w:rPr>
        <w:noBreakHyphen/>
        <w:t xml:space="preserve">337/11, EU:C:2013:222, paragraphs 28 to 30 – to which also the CJEU refers in para.62 of </w:t>
      </w:r>
      <w:r>
        <w:rPr>
          <w:rFonts w:ascii="Times New Roman" w:eastAsia="Times New Roman" w:hAnsi="Times New Roman" w:cs="Times New Roman"/>
          <w:i/>
          <w:color w:val="000000"/>
        </w:rPr>
        <w:t>RAAP</w:t>
      </w:r>
      <w:r>
        <w:rPr>
          <w:rFonts w:ascii="Times New Roman" w:eastAsia="Times New Roman" w:hAnsi="Times New Roman" w:cs="Times New Roman"/>
          <w:color w:val="000000"/>
        </w:rPr>
        <w:t xml:space="preserve"> concerning this principle.  </w:t>
      </w:r>
    </w:p>
  </w:footnote>
  <w:footnote w:id="33">
    <w:p w:rsidR="00494D93" w:rsidRDefault="00494D93" w:rsidP="00494D93">
      <w:pPr>
        <w:pStyle w:val="Lbjegyzetszveg"/>
        <w:rPr>
          <w:rFonts w:ascii="Times New Roman" w:hAnsi="Times New Roman" w:cs="Times New Roman"/>
          <w:lang w:val="es-ES_tradnl"/>
        </w:rPr>
      </w:pPr>
      <w:r>
        <w:rPr>
          <w:rStyle w:val="Lbjegyzet-hivatkozs"/>
          <w:rFonts w:ascii="Times New Roman" w:hAnsi="Times New Roman" w:cs="Times New Roman"/>
        </w:rPr>
        <w:footnoteRef/>
      </w:r>
      <w:r>
        <w:rPr>
          <w:rFonts w:ascii="Times New Roman" w:hAnsi="Times New Roman" w:cs="Times New Roman"/>
          <w:lang w:val="es-ES_tradnl"/>
        </w:rPr>
        <w:t xml:space="preserve"> </w:t>
      </w:r>
      <w:r>
        <w:rPr>
          <w:rFonts w:ascii="Times New Roman" w:eastAsia="Times New Roman" w:hAnsi="Times New Roman" w:cs="Times New Roman"/>
          <w:bCs/>
          <w:lang w:val="es-ES_tradnl"/>
        </w:rPr>
        <w:t>Gabrielle Defrenne v Sabena, case 43-75 (</w:t>
      </w:r>
      <w:r>
        <w:rPr>
          <w:rFonts w:ascii="Times New Roman" w:hAnsi="Times New Roman" w:cs="Times New Roman"/>
          <w:lang w:val="es-ES_tradnl"/>
        </w:rPr>
        <w:t>ECLI:EU:C:1976:56)</w:t>
      </w:r>
      <w:r>
        <w:rPr>
          <w:rFonts w:ascii="Times New Roman" w:eastAsia="Times New Roman" w:hAnsi="Times New Roman" w:cs="Times New Roman"/>
          <w:bCs/>
          <w:lang w:val="es-ES_tradnl"/>
        </w:rPr>
        <w:t xml:space="preserve">. </w:t>
      </w:r>
    </w:p>
  </w:footnote>
  <w:footnote w:id="34">
    <w:p w:rsidR="00494D93" w:rsidRDefault="00494D93" w:rsidP="00494D93">
      <w:pPr>
        <w:pStyle w:val="Lbjegyzetszveg"/>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The relevant paragraphs of the judgement read as follows:</w:t>
      </w:r>
    </w:p>
    <w:p w:rsidR="00494D93" w:rsidRDefault="00494D93" w:rsidP="00494D93">
      <w:pPr>
        <w:spacing w:after="0" w:line="240" w:lineRule="auto"/>
        <w:ind w:left="284"/>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69 The governments of Ireland and the United Kingdom have drawn the Court's attention to the possible economic consequences of attributing direct effect to the provisions of Article 119, on the ground that such a decision might, in many branches of economic life, result in the introduction of claims dating back to the time at which such effect same into existence.</w:t>
      </w:r>
    </w:p>
    <w:p w:rsidR="00494D93" w:rsidRDefault="00494D93" w:rsidP="00494D93">
      <w:pPr>
        <w:spacing w:after="0" w:line="240" w:lineRule="auto"/>
        <w:ind w:left="284"/>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70 In view of the large number of people concerned such claims, which undertakings could not have foreseen, might seriously affect the financial situation of such undertakings and even drive some of them to bankruptcy.[…]</w:t>
      </w:r>
    </w:p>
    <w:p w:rsidR="00494D93" w:rsidRDefault="00494D93" w:rsidP="00494D93">
      <w:pPr>
        <w:spacing w:after="0" w:line="240" w:lineRule="auto"/>
        <w:ind w:left="284"/>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73 The fact that, in spite of the warnings given , the Commission did not initiate proceedings under Article 169 against the Member States concerned on grounds of failure to fulfil an obligation was likely to consolidate the incorrect impression as to the effects of Article 119. </w:t>
      </w:r>
    </w:p>
    <w:p w:rsidR="00494D93" w:rsidRDefault="00494D93" w:rsidP="00494D93">
      <w:pPr>
        <w:spacing w:after="0" w:line="240" w:lineRule="auto"/>
        <w:ind w:left="284"/>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74 In these circumstances, it is appropriate to determine that, as the general level at which pay would have been fixed cannot be known, important considerations of legal certainty affecting all the interests involved, both public and private, make it impossible in principle to reopen the question as regards the past.</w:t>
      </w:r>
    </w:p>
    <w:p w:rsidR="00494D93" w:rsidRDefault="00494D93" w:rsidP="00494D93">
      <w:pPr>
        <w:pStyle w:val="Lbjegyzetszveg"/>
        <w:ind w:left="284"/>
        <w:jc w:val="both"/>
        <w:rPr>
          <w:lang w:val="hu-HU"/>
        </w:rPr>
      </w:pPr>
      <w:r>
        <w:rPr>
          <w:rFonts w:ascii="Times New Roman" w:eastAsia="Times New Roman" w:hAnsi="Times New Roman" w:cs="Times New Roman"/>
          <w:iCs/>
        </w:rPr>
        <w:t xml:space="preserve">75 Therefore, the direct effect of Article 119 cannot be relied on in order to support claims concerning pay periods prior to the date of this judgment. </w:t>
      </w:r>
    </w:p>
  </w:footnote>
  <w:footnote w:id="35">
    <w:p w:rsidR="00DD38EA" w:rsidRDefault="00DD38EA" w:rsidP="00DD38EA">
      <w:pPr>
        <w:pStyle w:val="Lbjegyzetszveg"/>
        <w:jc w:val="both"/>
        <w:rPr>
          <w:rFonts w:cs="Times New Roman"/>
        </w:rPr>
      </w:pPr>
      <w:r>
        <w:rPr>
          <w:rStyle w:val="Lbjegyzet-hivatkozs"/>
          <w:rFonts w:ascii="Times New Roman" w:hAnsi="Times New Roman" w:cs="Times New Roman"/>
        </w:rPr>
        <w:footnoteRef/>
      </w:r>
      <w:r>
        <w:rPr>
          <w:rFonts w:ascii="Times New Roman" w:hAnsi="Times New Roman" w:cs="Times New Roman"/>
        </w:rPr>
        <w:t xml:space="preserve"> The rule of a 10% upper limit of deductions had been traditionally part of the CISAC Model Contract for reciprocal representation agreements between performing rights CMOs, which, for anti-trust reasons, is not quite applied in practice anymore. The Model Provisions had codified best practices of contractual relations between the great number of CMOs, the smooth and correct cooperation of which is a basic condition of adequate management of copyright. The 10% rule drew attention to the desirability of such deductions for the promotion of creativity in the various countries and as a matter of solidarity among creators and, at the same time, it also determined its acceptable maximum level.    </w:t>
      </w:r>
    </w:p>
  </w:footnote>
  <w:footnote w:id="36">
    <w:p w:rsidR="00DD38EA" w:rsidRDefault="00DD38EA" w:rsidP="00DD38EA">
      <w:pPr>
        <w:pStyle w:val="FN"/>
        <w:spacing w:before="0" w:after="0" w:line="240" w:lineRule="auto"/>
        <w:rPr>
          <w:lang w:val="es-ES_tradnl"/>
        </w:rPr>
      </w:pPr>
      <w:r>
        <w:rPr>
          <w:i/>
          <w:vertAlign w:val="superscript"/>
        </w:rPr>
        <w:footnoteRef/>
      </w:r>
      <w:r>
        <w:rPr>
          <w:i/>
          <w:lang w:val="es-ES_tradnl"/>
        </w:rPr>
        <w:t xml:space="preserve"> See </w:t>
      </w:r>
      <w:r>
        <w:rPr>
          <w:lang w:val="es-ES_tradnl"/>
        </w:rPr>
        <w:t>document IAVP/DC/37, 59, paras 423–24.</w:t>
      </w:r>
    </w:p>
  </w:footnote>
  <w:footnote w:id="37">
    <w:p w:rsidR="00DD38EA" w:rsidRDefault="00DD38EA" w:rsidP="00DD38EA">
      <w:pPr>
        <w:pStyle w:val="Lbjegyzetszveg"/>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lang w:val="es-ES_tradnl"/>
        </w:rPr>
        <w:t xml:space="preserve"> Document IAVP/DC/39.</w:t>
      </w:r>
    </w:p>
  </w:footnote>
  <w:footnote w:id="38">
    <w:p w:rsidR="00DD38EA" w:rsidRDefault="00DD38EA" w:rsidP="00DD38EA">
      <w:pPr>
        <w:pStyle w:val="Lbjegyzetszveg"/>
        <w:rPr>
          <w:rFonts w:ascii="Times New Roman" w:hAnsi="Times New Roman" w:cs="Times New Roman"/>
          <w:lang w:val="hu-HU"/>
        </w:rPr>
      </w:pPr>
      <w:r>
        <w:rPr>
          <w:rStyle w:val="Lbjegyzet-hivatkozs"/>
          <w:rFonts w:ascii="Times New Roman" w:hAnsi="Times New Roman" w:cs="Times New Roman"/>
        </w:rPr>
        <w:footnoteRef/>
      </w:r>
      <w:r>
        <w:rPr>
          <w:rFonts w:ascii="Times New Roman" w:hAnsi="Times New Roman" w:cs="Times New Roman"/>
        </w:rPr>
        <w:t xml:space="preserve"> Articles 8(5)(b) and (e), 13(4) and (6) and 21(1)(i) and point 2(c)(vii) of the Directive. </w:t>
      </w:r>
    </w:p>
  </w:footnote>
  <w:footnote w:id="39">
    <w:p w:rsidR="00DD38EA" w:rsidRDefault="00DD38EA" w:rsidP="00DD38EA">
      <w:pPr>
        <w:pStyle w:val="Lbjegyzetszveg"/>
        <w:jc w:val="both"/>
        <w:rPr>
          <w:rFonts w:ascii="Times New Roman" w:hAnsi="Times New Roman" w:cs="Times New Roman"/>
        </w:rPr>
      </w:pPr>
      <w:r>
        <w:rPr>
          <w:rStyle w:val="Lbjegyzet-hivatkozs"/>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See</w:t>
      </w:r>
      <w:r>
        <w:rPr>
          <w:rFonts w:ascii="Times New Roman" w:hAnsi="Times New Roman" w:cs="Times New Roman"/>
        </w:rPr>
        <w:t xml:space="preserve"> for example the judgment of the CJEU in the </w:t>
      </w:r>
      <w:r>
        <w:rPr>
          <w:rFonts w:ascii="Times New Roman" w:hAnsi="Times New Roman" w:cs="Times New Roman"/>
          <w:i/>
        </w:rPr>
        <w:t xml:space="preserve">AustroMechana </w:t>
      </w:r>
      <w:r>
        <w:rPr>
          <w:rFonts w:ascii="Times New Roman" w:hAnsi="Times New Roman" w:cs="Times New Roman"/>
        </w:rPr>
        <w:t>case, where the Court has found that even 50% of the private copying remuneration may be used for cultural and social purposes. (Case C-521/11 (</w:t>
      </w:r>
      <w:r>
        <w:rPr>
          <w:rFonts w:ascii="Times New Roman" w:eastAsia="Times New Roman" w:hAnsi="Times New Roman" w:cs="Times New Roman"/>
          <w:sz w:val="18"/>
          <w:szCs w:val="18"/>
        </w:rPr>
        <w:t xml:space="preserve">ECLI:EU:C:2013:515). </w:t>
      </w:r>
      <w:r>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4303"/>
    <w:multiLevelType w:val="hybridMultilevel"/>
    <w:tmpl w:val="0B0C174C"/>
    <w:lvl w:ilvl="0" w:tplc="831A255E">
      <w:start w:val="8"/>
      <w:numFmt w:val="bullet"/>
      <w:lvlText w:val="-"/>
      <w:lvlJc w:val="left"/>
      <w:pPr>
        <w:ind w:left="1211" w:hanging="360"/>
      </w:pPr>
      <w:rPr>
        <w:rFonts w:ascii="Calibri" w:eastAsia="Times New Roman" w:hAnsi="Calibri" w:cs="Calibri" w:hint="default"/>
      </w:rPr>
    </w:lvl>
    <w:lvl w:ilvl="1" w:tplc="04090003">
      <w:start w:val="1"/>
      <w:numFmt w:val="bullet"/>
      <w:lvlText w:val="o"/>
      <w:lvlJc w:val="left"/>
      <w:pPr>
        <w:ind w:left="-3740" w:hanging="360"/>
      </w:pPr>
      <w:rPr>
        <w:rFonts w:ascii="Courier New" w:hAnsi="Courier New" w:cs="Courier New" w:hint="default"/>
      </w:rPr>
    </w:lvl>
    <w:lvl w:ilvl="2" w:tplc="04090005">
      <w:start w:val="1"/>
      <w:numFmt w:val="bullet"/>
      <w:lvlText w:val=""/>
      <w:lvlJc w:val="left"/>
      <w:pPr>
        <w:ind w:left="-3020" w:hanging="360"/>
      </w:pPr>
      <w:rPr>
        <w:rFonts w:ascii="Wingdings" w:hAnsi="Wingdings" w:hint="default"/>
      </w:rPr>
    </w:lvl>
    <w:lvl w:ilvl="3" w:tplc="04090001">
      <w:start w:val="1"/>
      <w:numFmt w:val="bullet"/>
      <w:lvlText w:val=""/>
      <w:lvlJc w:val="left"/>
      <w:pPr>
        <w:ind w:left="-2300" w:hanging="360"/>
      </w:pPr>
      <w:rPr>
        <w:rFonts w:ascii="Symbol" w:hAnsi="Symbol" w:hint="default"/>
      </w:rPr>
    </w:lvl>
    <w:lvl w:ilvl="4" w:tplc="04090003">
      <w:start w:val="1"/>
      <w:numFmt w:val="bullet"/>
      <w:lvlText w:val="o"/>
      <w:lvlJc w:val="left"/>
      <w:pPr>
        <w:ind w:left="-1580" w:hanging="360"/>
      </w:pPr>
      <w:rPr>
        <w:rFonts w:ascii="Courier New" w:hAnsi="Courier New" w:cs="Courier New" w:hint="default"/>
      </w:rPr>
    </w:lvl>
    <w:lvl w:ilvl="5" w:tplc="04090005">
      <w:start w:val="1"/>
      <w:numFmt w:val="bullet"/>
      <w:lvlText w:val=""/>
      <w:lvlJc w:val="left"/>
      <w:pPr>
        <w:ind w:left="-860" w:hanging="360"/>
      </w:pPr>
      <w:rPr>
        <w:rFonts w:ascii="Wingdings" w:hAnsi="Wingdings" w:hint="default"/>
      </w:rPr>
    </w:lvl>
    <w:lvl w:ilvl="6" w:tplc="04090001">
      <w:start w:val="1"/>
      <w:numFmt w:val="bullet"/>
      <w:lvlText w:val=""/>
      <w:lvlJc w:val="left"/>
      <w:pPr>
        <w:ind w:left="-140" w:hanging="360"/>
      </w:pPr>
      <w:rPr>
        <w:rFonts w:ascii="Symbol" w:hAnsi="Symbol" w:hint="default"/>
      </w:rPr>
    </w:lvl>
    <w:lvl w:ilvl="7" w:tplc="04090003">
      <w:start w:val="1"/>
      <w:numFmt w:val="bullet"/>
      <w:lvlText w:val="o"/>
      <w:lvlJc w:val="left"/>
      <w:pPr>
        <w:ind w:left="580" w:hanging="360"/>
      </w:pPr>
      <w:rPr>
        <w:rFonts w:ascii="Courier New" w:hAnsi="Courier New" w:cs="Courier New" w:hint="default"/>
      </w:rPr>
    </w:lvl>
    <w:lvl w:ilvl="8" w:tplc="04090005">
      <w:start w:val="1"/>
      <w:numFmt w:val="bullet"/>
      <w:lvlText w:val=""/>
      <w:lvlJc w:val="left"/>
      <w:pPr>
        <w:ind w:left="1300" w:hanging="360"/>
      </w:pPr>
      <w:rPr>
        <w:rFonts w:ascii="Wingdings" w:hAnsi="Wingdings" w:hint="default"/>
      </w:rPr>
    </w:lvl>
  </w:abstractNum>
  <w:abstractNum w:abstractNumId="1">
    <w:nsid w:val="4C757434"/>
    <w:multiLevelType w:val="hybridMultilevel"/>
    <w:tmpl w:val="1C22A154"/>
    <w:lvl w:ilvl="0" w:tplc="293A242C">
      <w:numFmt w:val="bullet"/>
      <w:lvlText w:val="-"/>
      <w:lvlJc w:val="left"/>
      <w:pPr>
        <w:ind w:left="927" w:hanging="360"/>
      </w:pPr>
      <w:rPr>
        <w:rFonts w:ascii="Times New Roman" w:eastAsiaTheme="minorHAnsi" w:hAnsi="Times New Roman" w:cs="Times New Roman" w:hint="default"/>
        <w:b/>
        <w:sz w:val="24"/>
        <w:szCs w:val="24"/>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
    <w:nsid w:val="622A2FFA"/>
    <w:multiLevelType w:val="hybridMultilevel"/>
    <w:tmpl w:val="7F2C17CA"/>
    <w:lvl w:ilvl="0" w:tplc="A440CCD4">
      <w:start w:val="5"/>
      <w:numFmt w:val="bullet"/>
      <w:lvlText w:val="-"/>
      <w:lvlJc w:val="left"/>
      <w:pPr>
        <w:ind w:left="1079" w:hanging="360"/>
      </w:pPr>
      <w:rPr>
        <w:rFonts w:ascii="Times New Roman" w:eastAsiaTheme="minorEastAsia" w:hAnsi="Times New Roman" w:cs="Times New Roman" w:hint="default"/>
      </w:rPr>
    </w:lvl>
    <w:lvl w:ilvl="1" w:tplc="04090003">
      <w:start w:val="1"/>
      <w:numFmt w:val="bullet"/>
      <w:lvlText w:val="o"/>
      <w:lvlJc w:val="left"/>
      <w:pPr>
        <w:ind w:left="1799" w:hanging="360"/>
      </w:pPr>
      <w:rPr>
        <w:rFonts w:ascii="Courier New" w:hAnsi="Courier New" w:cs="Courier New" w:hint="default"/>
      </w:rPr>
    </w:lvl>
    <w:lvl w:ilvl="2" w:tplc="04090005">
      <w:start w:val="1"/>
      <w:numFmt w:val="bullet"/>
      <w:lvlText w:val=""/>
      <w:lvlJc w:val="left"/>
      <w:pPr>
        <w:ind w:left="2519" w:hanging="360"/>
      </w:pPr>
      <w:rPr>
        <w:rFonts w:ascii="Wingdings" w:hAnsi="Wingdings" w:hint="default"/>
      </w:rPr>
    </w:lvl>
    <w:lvl w:ilvl="3" w:tplc="04090001">
      <w:start w:val="1"/>
      <w:numFmt w:val="bullet"/>
      <w:lvlText w:val=""/>
      <w:lvlJc w:val="left"/>
      <w:pPr>
        <w:ind w:left="3239" w:hanging="360"/>
      </w:pPr>
      <w:rPr>
        <w:rFonts w:ascii="Symbol" w:hAnsi="Symbol" w:hint="default"/>
      </w:rPr>
    </w:lvl>
    <w:lvl w:ilvl="4" w:tplc="04090003">
      <w:start w:val="1"/>
      <w:numFmt w:val="bullet"/>
      <w:lvlText w:val="o"/>
      <w:lvlJc w:val="left"/>
      <w:pPr>
        <w:ind w:left="3959" w:hanging="360"/>
      </w:pPr>
      <w:rPr>
        <w:rFonts w:ascii="Courier New" w:hAnsi="Courier New" w:cs="Courier New" w:hint="default"/>
      </w:rPr>
    </w:lvl>
    <w:lvl w:ilvl="5" w:tplc="04090005">
      <w:start w:val="1"/>
      <w:numFmt w:val="bullet"/>
      <w:lvlText w:val=""/>
      <w:lvlJc w:val="left"/>
      <w:pPr>
        <w:ind w:left="4679" w:hanging="360"/>
      </w:pPr>
      <w:rPr>
        <w:rFonts w:ascii="Wingdings" w:hAnsi="Wingdings" w:hint="default"/>
      </w:rPr>
    </w:lvl>
    <w:lvl w:ilvl="6" w:tplc="04090001">
      <w:start w:val="1"/>
      <w:numFmt w:val="bullet"/>
      <w:lvlText w:val=""/>
      <w:lvlJc w:val="left"/>
      <w:pPr>
        <w:ind w:left="5399" w:hanging="360"/>
      </w:pPr>
      <w:rPr>
        <w:rFonts w:ascii="Symbol" w:hAnsi="Symbol" w:hint="default"/>
      </w:rPr>
    </w:lvl>
    <w:lvl w:ilvl="7" w:tplc="04090003">
      <w:start w:val="1"/>
      <w:numFmt w:val="bullet"/>
      <w:lvlText w:val="o"/>
      <w:lvlJc w:val="left"/>
      <w:pPr>
        <w:ind w:left="6119" w:hanging="360"/>
      </w:pPr>
      <w:rPr>
        <w:rFonts w:ascii="Courier New" w:hAnsi="Courier New" w:cs="Courier New" w:hint="default"/>
      </w:rPr>
    </w:lvl>
    <w:lvl w:ilvl="8" w:tplc="04090005">
      <w:start w:val="1"/>
      <w:numFmt w:val="bullet"/>
      <w:lvlText w:val=""/>
      <w:lvlJc w:val="left"/>
      <w:pPr>
        <w:ind w:left="683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93"/>
    <w:rsid w:val="00045253"/>
    <w:rsid w:val="00046EF3"/>
    <w:rsid w:val="00065CCD"/>
    <w:rsid w:val="00077D1E"/>
    <w:rsid w:val="000A6F42"/>
    <w:rsid w:val="000B3362"/>
    <w:rsid w:val="000B3ACC"/>
    <w:rsid w:val="00100874"/>
    <w:rsid w:val="001079AF"/>
    <w:rsid w:val="001858CA"/>
    <w:rsid w:val="00185EF4"/>
    <w:rsid w:val="00190FB8"/>
    <w:rsid w:val="00193E0E"/>
    <w:rsid w:val="002516D1"/>
    <w:rsid w:val="002E3219"/>
    <w:rsid w:val="002F1F60"/>
    <w:rsid w:val="00303A84"/>
    <w:rsid w:val="00303CDB"/>
    <w:rsid w:val="003438D0"/>
    <w:rsid w:val="00357EFF"/>
    <w:rsid w:val="00387EC1"/>
    <w:rsid w:val="00391564"/>
    <w:rsid w:val="003D02A0"/>
    <w:rsid w:val="003E2B09"/>
    <w:rsid w:val="003E35D2"/>
    <w:rsid w:val="00460469"/>
    <w:rsid w:val="00487DA4"/>
    <w:rsid w:val="00494D93"/>
    <w:rsid w:val="004A6151"/>
    <w:rsid w:val="005341E0"/>
    <w:rsid w:val="00546265"/>
    <w:rsid w:val="005B165B"/>
    <w:rsid w:val="005F5E24"/>
    <w:rsid w:val="00626F35"/>
    <w:rsid w:val="0062784A"/>
    <w:rsid w:val="00665177"/>
    <w:rsid w:val="00682123"/>
    <w:rsid w:val="006A0E19"/>
    <w:rsid w:val="006B4169"/>
    <w:rsid w:val="006B7D89"/>
    <w:rsid w:val="0075258B"/>
    <w:rsid w:val="00752C6B"/>
    <w:rsid w:val="00772ABA"/>
    <w:rsid w:val="007B775D"/>
    <w:rsid w:val="0082008E"/>
    <w:rsid w:val="008350BE"/>
    <w:rsid w:val="0085082F"/>
    <w:rsid w:val="008D00E2"/>
    <w:rsid w:val="00906BB3"/>
    <w:rsid w:val="0095195D"/>
    <w:rsid w:val="00951A4A"/>
    <w:rsid w:val="009D0F46"/>
    <w:rsid w:val="009E53E6"/>
    <w:rsid w:val="009F47C2"/>
    <w:rsid w:val="00A1609D"/>
    <w:rsid w:val="00A26796"/>
    <w:rsid w:val="00A54FD8"/>
    <w:rsid w:val="00A629B4"/>
    <w:rsid w:val="00A67963"/>
    <w:rsid w:val="00A95B91"/>
    <w:rsid w:val="00AD0089"/>
    <w:rsid w:val="00AD0E6B"/>
    <w:rsid w:val="00AD5E37"/>
    <w:rsid w:val="00AF56B5"/>
    <w:rsid w:val="00B07E84"/>
    <w:rsid w:val="00B57771"/>
    <w:rsid w:val="00BA7DA9"/>
    <w:rsid w:val="00BC4AD3"/>
    <w:rsid w:val="00C00288"/>
    <w:rsid w:val="00C004E3"/>
    <w:rsid w:val="00C15EBC"/>
    <w:rsid w:val="00C236B8"/>
    <w:rsid w:val="00C51ECA"/>
    <w:rsid w:val="00C534C0"/>
    <w:rsid w:val="00C70933"/>
    <w:rsid w:val="00CA4F9C"/>
    <w:rsid w:val="00CD2A5F"/>
    <w:rsid w:val="00D023AB"/>
    <w:rsid w:val="00D23718"/>
    <w:rsid w:val="00D32529"/>
    <w:rsid w:val="00D751A5"/>
    <w:rsid w:val="00D91783"/>
    <w:rsid w:val="00D9719F"/>
    <w:rsid w:val="00D97247"/>
    <w:rsid w:val="00DD38EA"/>
    <w:rsid w:val="00E36CE2"/>
    <w:rsid w:val="00E744B2"/>
    <w:rsid w:val="00ED5E94"/>
    <w:rsid w:val="00EF144B"/>
    <w:rsid w:val="00F02119"/>
    <w:rsid w:val="00F1606E"/>
    <w:rsid w:val="00F17D26"/>
    <w:rsid w:val="00F31F5E"/>
    <w:rsid w:val="00F61E95"/>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53E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aliases w:val="Footnote Text Char2 Char Char,Footnote Text Char Char Char1 Char,Footnote Text Char1 Char Char Char Char,Footnote Text Char2 Char Char Char Char Char,Footnote Text Char1 Char1 Char Char Char Char Char,fn Char,Footnotes Char,ft Char"/>
    <w:basedOn w:val="Bekezdsalapbettpusa"/>
    <w:link w:val="Lbjegyzetszveg"/>
    <w:semiHidden/>
    <w:locked/>
    <w:rsid w:val="00494D93"/>
    <w:rPr>
      <w:rFonts w:ascii="Calibri" w:hAnsi="Calibri" w:cs="Calibri"/>
      <w:sz w:val="20"/>
      <w:szCs w:val="20"/>
    </w:rPr>
  </w:style>
  <w:style w:type="paragraph" w:styleId="Lbjegyzetszveg">
    <w:name w:val="footnote text"/>
    <w:aliases w:val="Footnote Text Char2 Char,Footnote Text Char Char Char1,Footnote Text Char1 Char Char Char,Footnote Text Char2 Char Char Char Char,Footnote Text Char1 Char1 Char Char Char Char,Footnote Text Char Char1 Char Char Char Char,fn,Footnotes,ft"/>
    <w:basedOn w:val="Norml"/>
    <w:link w:val="LbjegyzetszvegChar"/>
    <w:semiHidden/>
    <w:unhideWhenUsed/>
    <w:rsid w:val="00494D93"/>
    <w:pPr>
      <w:spacing w:after="0" w:line="240" w:lineRule="auto"/>
    </w:pPr>
    <w:rPr>
      <w:rFonts w:ascii="Calibri" w:hAnsi="Calibri" w:cs="Calibri"/>
      <w:sz w:val="20"/>
      <w:szCs w:val="20"/>
    </w:rPr>
  </w:style>
  <w:style w:type="character" w:customStyle="1" w:styleId="LbjegyzetszvegChar1">
    <w:name w:val="Lábjegyzetszöveg Char1"/>
    <w:basedOn w:val="Bekezdsalapbettpusa"/>
    <w:uiPriority w:val="99"/>
    <w:semiHidden/>
    <w:rsid w:val="00494D93"/>
    <w:rPr>
      <w:sz w:val="20"/>
      <w:szCs w:val="20"/>
    </w:rPr>
  </w:style>
  <w:style w:type="paragraph" w:styleId="Szvegtrzs">
    <w:name w:val="Body Text"/>
    <w:basedOn w:val="Norml"/>
    <w:link w:val="SzvegtrzsChar"/>
    <w:uiPriority w:val="1"/>
    <w:unhideWhenUsed/>
    <w:qFormat/>
    <w:rsid w:val="00494D93"/>
    <w:pPr>
      <w:widowControl w:val="0"/>
      <w:spacing w:after="0" w:line="240" w:lineRule="auto"/>
      <w:ind w:left="110"/>
    </w:pPr>
    <w:rPr>
      <w:rFonts w:ascii="Times New Roman" w:eastAsia="Times New Roman" w:hAnsi="Times New Roman"/>
      <w:sz w:val="25"/>
      <w:szCs w:val="25"/>
    </w:rPr>
  </w:style>
  <w:style w:type="character" w:customStyle="1" w:styleId="SzvegtrzsChar">
    <w:name w:val="Szövegtörzs Char"/>
    <w:basedOn w:val="Bekezdsalapbettpusa"/>
    <w:link w:val="Szvegtrzs"/>
    <w:uiPriority w:val="1"/>
    <w:rsid w:val="00494D93"/>
    <w:rPr>
      <w:rFonts w:ascii="Times New Roman" w:eastAsia="Times New Roman" w:hAnsi="Times New Roman"/>
      <w:sz w:val="25"/>
      <w:szCs w:val="25"/>
    </w:rPr>
  </w:style>
  <w:style w:type="paragraph" w:styleId="Alcm">
    <w:name w:val="Subtitle"/>
    <w:basedOn w:val="Norml"/>
    <w:next w:val="Norml"/>
    <w:link w:val="AlcmChar"/>
    <w:qFormat/>
    <w:rsid w:val="00494D93"/>
    <w:pPr>
      <w:widowControl w:val="0"/>
      <w:suppressAutoHyphens/>
      <w:autoSpaceDE w:val="0"/>
      <w:autoSpaceDN w:val="0"/>
      <w:spacing w:after="60" w:line="240" w:lineRule="auto"/>
      <w:jc w:val="center"/>
      <w:outlineLvl w:val="1"/>
    </w:pPr>
    <w:rPr>
      <w:rFonts w:ascii="Cambria" w:eastAsia="Times New Roman" w:hAnsi="Cambria" w:cs="Times New Roman"/>
      <w:sz w:val="24"/>
      <w:szCs w:val="24"/>
      <w:lang w:val="ru-RU" w:eastAsia="ar-SA" w:bidi="en-US"/>
    </w:rPr>
  </w:style>
  <w:style w:type="character" w:customStyle="1" w:styleId="AlcmChar">
    <w:name w:val="Alcím Char"/>
    <w:basedOn w:val="Bekezdsalapbettpusa"/>
    <w:link w:val="Alcm"/>
    <w:rsid w:val="00494D93"/>
    <w:rPr>
      <w:rFonts w:ascii="Cambria" w:eastAsia="Times New Roman" w:hAnsi="Cambria" w:cs="Times New Roman"/>
      <w:sz w:val="24"/>
      <w:szCs w:val="24"/>
      <w:lang w:val="ru-RU" w:eastAsia="ar-SA" w:bidi="en-US"/>
    </w:rPr>
  </w:style>
  <w:style w:type="paragraph" w:styleId="Listaszerbekezds">
    <w:name w:val="List Paragraph"/>
    <w:basedOn w:val="Norml"/>
    <w:uiPriority w:val="1"/>
    <w:qFormat/>
    <w:rsid w:val="00494D93"/>
    <w:pPr>
      <w:widowControl w:val="0"/>
      <w:spacing w:after="0" w:line="240" w:lineRule="auto"/>
    </w:pPr>
  </w:style>
  <w:style w:type="paragraph" w:customStyle="1" w:styleId="Style1">
    <w:name w:val="Style1"/>
    <w:basedOn w:val="Norml"/>
    <w:uiPriority w:val="99"/>
    <w:semiHidden/>
    <w:rsid w:val="00494D93"/>
    <w:pPr>
      <w:widowControl w:val="0"/>
      <w:autoSpaceDE w:val="0"/>
      <w:autoSpaceDN w:val="0"/>
      <w:adjustRightInd w:val="0"/>
      <w:spacing w:after="0" w:line="240" w:lineRule="auto"/>
    </w:pPr>
    <w:rPr>
      <w:rFonts w:ascii="Calibri" w:eastAsiaTheme="minorEastAsia" w:hAnsi="Calibri" w:cs="Calibri"/>
      <w:sz w:val="24"/>
      <w:szCs w:val="24"/>
      <w:lang w:val="hu-HU" w:eastAsia="hu-HU"/>
    </w:rPr>
  </w:style>
  <w:style w:type="character" w:styleId="Lbjegyzet-hivatkozs">
    <w:name w:val="footnote reference"/>
    <w:aliases w:val="Nota,Footnote symbol,Footnote,Appel note de bas de p,SUPERS,BVI fnr,Footnotemark,FR,Footnotemark1,Footnotemark2,FR1,Footnotemark3,FR2,Footnotemark4,FR3,Footnotemark5,FR4,Footnotemark6,Footnotemark7,Footnotemark8,FR5,FR11,Ref,註腳內容"/>
    <w:basedOn w:val="Bekezdsalapbettpusa"/>
    <w:semiHidden/>
    <w:unhideWhenUsed/>
    <w:rsid w:val="00494D93"/>
    <w:rPr>
      <w:vertAlign w:val="superscript"/>
    </w:rPr>
  </w:style>
  <w:style w:type="character" w:customStyle="1" w:styleId="FontStyle11">
    <w:name w:val="Font Style11"/>
    <w:basedOn w:val="Bekezdsalapbettpusa"/>
    <w:uiPriority w:val="99"/>
    <w:rsid w:val="00494D93"/>
    <w:rPr>
      <w:rFonts w:ascii="Bookman Old Style" w:hAnsi="Bookman Old Style" w:cs="Bookman Old Style" w:hint="default"/>
      <w:sz w:val="16"/>
      <w:szCs w:val="16"/>
    </w:rPr>
  </w:style>
  <w:style w:type="paragraph" w:styleId="Szvegtrzsbehzssal2">
    <w:name w:val="Body Text Indent 2"/>
    <w:basedOn w:val="Norml"/>
    <w:link w:val="Szvegtrzsbehzssal2Char"/>
    <w:uiPriority w:val="99"/>
    <w:semiHidden/>
    <w:unhideWhenUsed/>
    <w:rsid w:val="00DD38EA"/>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D38EA"/>
  </w:style>
  <w:style w:type="paragraph" w:styleId="Szvegtrzsbehzssal3">
    <w:name w:val="Body Text Indent 3"/>
    <w:basedOn w:val="Norml"/>
    <w:link w:val="Szvegtrzsbehzssal3Char"/>
    <w:uiPriority w:val="99"/>
    <w:semiHidden/>
    <w:unhideWhenUsed/>
    <w:rsid w:val="00DD38E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DD38EA"/>
    <w:rPr>
      <w:sz w:val="16"/>
      <w:szCs w:val="16"/>
    </w:rPr>
  </w:style>
  <w:style w:type="paragraph" w:customStyle="1" w:styleId="Paraindent">
    <w:name w:val="Para indent"/>
    <w:rsid w:val="00DD38EA"/>
    <w:pPr>
      <w:spacing w:after="0" w:line="360" w:lineRule="auto"/>
      <w:ind w:firstLine="240"/>
    </w:pPr>
    <w:rPr>
      <w:rFonts w:ascii="Times New Roman" w:eastAsia="Times New Roman" w:hAnsi="Times New Roman" w:cs="Times New Roman"/>
      <w:sz w:val="24"/>
      <w:szCs w:val="20"/>
      <w:lang w:val="en-GB"/>
    </w:rPr>
  </w:style>
  <w:style w:type="paragraph" w:customStyle="1" w:styleId="FN">
    <w:name w:val="FN"/>
    <w:basedOn w:val="Norml"/>
    <w:rsid w:val="00DD38EA"/>
    <w:pPr>
      <w:spacing w:before="60" w:after="60" w:line="480" w:lineRule="auto"/>
      <w:ind w:left="245" w:hanging="245"/>
    </w:pPr>
    <w:rPr>
      <w:rFonts w:ascii="Times New Roman" w:eastAsia="Times New Roman" w:hAnsi="Times New Roman" w:cs="Times New Roman"/>
    </w:rPr>
  </w:style>
  <w:style w:type="paragraph" w:styleId="lfej">
    <w:name w:val="header"/>
    <w:basedOn w:val="Norml"/>
    <w:link w:val="lfejChar"/>
    <w:uiPriority w:val="99"/>
    <w:unhideWhenUsed/>
    <w:rsid w:val="00F31F5E"/>
    <w:pPr>
      <w:tabs>
        <w:tab w:val="center" w:pos="4703"/>
        <w:tab w:val="right" w:pos="9406"/>
      </w:tabs>
      <w:spacing w:after="0" w:line="240" w:lineRule="auto"/>
    </w:pPr>
  </w:style>
  <w:style w:type="character" w:customStyle="1" w:styleId="lfejChar">
    <w:name w:val="Élőfej Char"/>
    <w:basedOn w:val="Bekezdsalapbettpusa"/>
    <w:link w:val="lfej"/>
    <w:uiPriority w:val="99"/>
    <w:rsid w:val="00F31F5E"/>
  </w:style>
  <w:style w:type="paragraph" w:styleId="llb">
    <w:name w:val="footer"/>
    <w:basedOn w:val="Norml"/>
    <w:link w:val="llbChar"/>
    <w:uiPriority w:val="99"/>
    <w:unhideWhenUsed/>
    <w:rsid w:val="00F31F5E"/>
    <w:pPr>
      <w:tabs>
        <w:tab w:val="center" w:pos="4703"/>
        <w:tab w:val="right" w:pos="9406"/>
      </w:tabs>
      <w:spacing w:after="0" w:line="240" w:lineRule="auto"/>
    </w:pPr>
  </w:style>
  <w:style w:type="character" w:customStyle="1" w:styleId="llbChar">
    <w:name w:val="Élőláb Char"/>
    <w:basedOn w:val="Bekezdsalapbettpusa"/>
    <w:link w:val="llb"/>
    <w:uiPriority w:val="99"/>
    <w:rsid w:val="00F31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53E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aliases w:val="Footnote Text Char2 Char Char,Footnote Text Char Char Char1 Char,Footnote Text Char1 Char Char Char Char,Footnote Text Char2 Char Char Char Char Char,Footnote Text Char1 Char1 Char Char Char Char Char,fn Char,Footnotes Char,ft Char"/>
    <w:basedOn w:val="Bekezdsalapbettpusa"/>
    <w:link w:val="Lbjegyzetszveg"/>
    <w:semiHidden/>
    <w:locked/>
    <w:rsid w:val="00494D93"/>
    <w:rPr>
      <w:rFonts w:ascii="Calibri" w:hAnsi="Calibri" w:cs="Calibri"/>
      <w:sz w:val="20"/>
      <w:szCs w:val="20"/>
    </w:rPr>
  </w:style>
  <w:style w:type="paragraph" w:styleId="Lbjegyzetszveg">
    <w:name w:val="footnote text"/>
    <w:aliases w:val="Footnote Text Char2 Char,Footnote Text Char Char Char1,Footnote Text Char1 Char Char Char,Footnote Text Char2 Char Char Char Char,Footnote Text Char1 Char1 Char Char Char Char,Footnote Text Char Char1 Char Char Char Char,fn,Footnotes,ft"/>
    <w:basedOn w:val="Norml"/>
    <w:link w:val="LbjegyzetszvegChar"/>
    <w:semiHidden/>
    <w:unhideWhenUsed/>
    <w:rsid w:val="00494D93"/>
    <w:pPr>
      <w:spacing w:after="0" w:line="240" w:lineRule="auto"/>
    </w:pPr>
    <w:rPr>
      <w:rFonts w:ascii="Calibri" w:hAnsi="Calibri" w:cs="Calibri"/>
      <w:sz w:val="20"/>
      <w:szCs w:val="20"/>
    </w:rPr>
  </w:style>
  <w:style w:type="character" w:customStyle="1" w:styleId="LbjegyzetszvegChar1">
    <w:name w:val="Lábjegyzetszöveg Char1"/>
    <w:basedOn w:val="Bekezdsalapbettpusa"/>
    <w:uiPriority w:val="99"/>
    <w:semiHidden/>
    <w:rsid w:val="00494D93"/>
    <w:rPr>
      <w:sz w:val="20"/>
      <w:szCs w:val="20"/>
    </w:rPr>
  </w:style>
  <w:style w:type="paragraph" w:styleId="Szvegtrzs">
    <w:name w:val="Body Text"/>
    <w:basedOn w:val="Norml"/>
    <w:link w:val="SzvegtrzsChar"/>
    <w:uiPriority w:val="1"/>
    <w:unhideWhenUsed/>
    <w:qFormat/>
    <w:rsid w:val="00494D93"/>
    <w:pPr>
      <w:widowControl w:val="0"/>
      <w:spacing w:after="0" w:line="240" w:lineRule="auto"/>
      <w:ind w:left="110"/>
    </w:pPr>
    <w:rPr>
      <w:rFonts w:ascii="Times New Roman" w:eastAsia="Times New Roman" w:hAnsi="Times New Roman"/>
      <w:sz w:val="25"/>
      <w:szCs w:val="25"/>
    </w:rPr>
  </w:style>
  <w:style w:type="character" w:customStyle="1" w:styleId="SzvegtrzsChar">
    <w:name w:val="Szövegtörzs Char"/>
    <w:basedOn w:val="Bekezdsalapbettpusa"/>
    <w:link w:val="Szvegtrzs"/>
    <w:uiPriority w:val="1"/>
    <w:rsid w:val="00494D93"/>
    <w:rPr>
      <w:rFonts w:ascii="Times New Roman" w:eastAsia="Times New Roman" w:hAnsi="Times New Roman"/>
      <w:sz w:val="25"/>
      <w:szCs w:val="25"/>
    </w:rPr>
  </w:style>
  <w:style w:type="paragraph" w:styleId="Alcm">
    <w:name w:val="Subtitle"/>
    <w:basedOn w:val="Norml"/>
    <w:next w:val="Norml"/>
    <w:link w:val="AlcmChar"/>
    <w:qFormat/>
    <w:rsid w:val="00494D93"/>
    <w:pPr>
      <w:widowControl w:val="0"/>
      <w:suppressAutoHyphens/>
      <w:autoSpaceDE w:val="0"/>
      <w:autoSpaceDN w:val="0"/>
      <w:spacing w:after="60" w:line="240" w:lineRule="auto"/>
      <w:jc w:val="center"/>
      <w:outlineLvl w:val="1"/>
    </w:pPr>
    <w:rPr>
      <w:rFonts w:ascii="Cambria" w:eastAsia="Times New Roman" w:hAnsi="Cambria" w:cs="Times New Roman"/>
      <w:sz w:val="24"/>
      <w:szCs w:val="24"/>
      <w:lang w:val="ru-RU" w:eastAsia="ar-SA" w:bidi="en-US"/>
    </w:rPr>
  </w:style>
  <w:style w:type="character" w:customStyle="1" w:styleId="AlcmChar">
    <w:name w:val="Alcím Char"/>
    <w:basedOn w:val="Bekezdsalapbettpusa"/>
    <w:link w:val="Alcm"/>
    <w:rsid w:val="00494D93"/>
    <w:rPr>
      <w:rFonts w:ascii="Cambria" w:eastAsia="Times New Roman" w:hAnsi="Cambria" w:cs="Times New Roman"/>
      <w:sz w:val="24"/>
      <w:szCs w:val="24"/>
      <w:lang w:val="ru-RU" w:eastAsia="ar-SA" w:bidi="en-US"/>
    </w:rPr>
  </w:style>
  <w:style w:type="paragraph" w:styleId="Listaszerbekezds">
    <w:name w:val="List Paragraph"/>
    <w:basedOn w:val="Norml"/>
    <w:uiPriority w:val="1"/>
    <w:qFormat/>
    <w:rsid w:val="00494D93"/>
    <w:pPr>
      <w:widowControl w:val="0"/>
      <w:spacing w:after="0" w:line="240" w:lineRule="auto"/>
    </w:pPr>
  </w:style>
  <w:style w:type="paragraph" w:customStyle="1" w:styleId="Style1">
    <w:name w:val="Style1"/>
    <w:basedOn w:val="Norml"/>
    <w:uiPriority w:val="99"/>
    <w:semiHidden/>
    <w:rsid w:val="00494D93"/>
    <w:pPr>
      <w:widowControl w:val="0"/>
      <w:autoSpaceDE w:val="0"/>
      <w:autoSpaceDN w:val="0"/>
      <w:adjustRightInd w:val="0"/>
      <w:spacing w:after="0" w:line="240" w:lineRule="auto"/>
    </w:pPr>
    <w:rPr>
      <w:rFonts w:ascii="Calibri" w:eastAsiaTheme="minorEastAsia" w:hAnsi="Calibri" w:cs="Calibri"/>
      <w:sz w:val="24"/>
      <w:szCs w:val="24"/>
      <w:lang w:val="hu-HU" w:eastAsia="hu-HU"/>
    </w:rPr>
  </w:style>
  <w:style w:type="character" w:styleId="Lbjegyzet-hivatkozs">
    <w:name w:val="footnote reference"/>
    <w:aliases w:val="Nota,Footnote symbol,Footnote,Appel note de bas de p,SUPERS,BVI fnr,Footnotemark,FR,Footnotemark1,Footnotemark2,FR1,Footnotemark3,FR2,Footnotemark4,FR3,Footnotemark5,FR4,Footnotemark6,Footnotemark7,Footnotemark8,FR5,FR11,Ref,註腳內容"/>
    <w:basedOn w:val="Bekezdsalapbettpusa"/>
    <w:semiHidden/>
    <w:unhideWhenUsed/>
    <w:rsid w:val="00494D93"/>
    <w:rPr>
      <w:vertAlign w:val="superscript"/>
    </w:rPr>
  </w:style>
  <w:style w:type="character" w:customStyle="1" w:styleId="FontStyle11">
    <w:name w:val="Font Style11"/>
    <w:basedOn w:val="Bekezdsalapbettpusa"/>
    <w:uiPriority w:val="99"/>
    <w:rsid w:val="00494D93"/>
    <w:rPr>
      <w:rFonts w:ascii="Bookman Old Style" w:hAnsi="Bookman Old Style" w:cs="Bookman Old Style" w:hint="default"/>
      <w:sz w:val="16"/>
      <w:szCs w:val="16"/>
    </w:rPr>
  </w:style>
  <w:style w:type="paragraph" w:styleId="Szvegtrzsbehzssal2">
    <w:name w:val="Body Text Indent 2"/>
    <w:basedOn w:val="Norml"/>
    <w:link w:val="Szvegtrzsbehzssal2Char"/>
    <w:uiPriority w:val="99"/>
    <w:semiHidden/>
    <w:unhideWhenUsed/>
    <w:rsid w:val="00DD38EA"/>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DD38EA"/>
  </w:style>
  <w:style w:type="paragraph" w:styleId="Szvegtrzsbehzssal3">
    <w:name w:val="Body Text Indent 3"/>
    <w:basedOn w:val="Norml"/>
    <w:link w:val="Szvegtrzsbehzssal3Char"/>
    <w:uiPriority w:val="99"/>
    <w:semiHidden/>
    <w:unhideWhenUsed/>
    <w:rsid w:val="00DD38EA"/>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DD38EA"/>
    <w:rPr>
      <w:sz w:val="16"/>
      <w:szCs w:val="16"/>
    </w:rPr>
  </w:style>
  <w:style w:type="paragraph" w:customStyle="1" w:styleId="Paraindent">
    <w:name w:val="Para indent"/>
    <w:rsid w:val="00DD38EA"/>
    <w:pPr>
      <w:spacing w:after="0" w:line="360" w:lineRule="auto"/>
      <w:ind w:firstLine="240"/>
    </w:pPr>
    <w:rPr>
      <w:rFonts w:ascii="Times New Roman" w:eastAsia="Times New Roman" w:hAnsi="Times New Roman" w:cs="Times New Roman"/>
      <w:sz w:val="24"/>
      <w:szCs w:val="20"/>
      <w:lang w:val="en-GB"/>
    </w:rPr>
  </w:style>
  <w:style w:type="paragraph" w:customStyle="1" w:styleId="FN">
    <w:name w:val="FN"/>
    <w:basedOn w:val="Norml"/>
    <w:rsid w:val="00DD38EA"/>
    <w:pPr>
      <w:spacing w:before="60" w:after="60" w:line="480" w:lineRule="auto"/>
      <w:ind w:left="245" w:hanging="245"/>
    </w:pPr>
    <w:rPr>
      <w:rFonts w:ascii="Times New Roman" w:eastAsia="Times New Roman" w:hAnsi="Times New Roman" w:cs="Times New Roman"/>
    </w:rPr>
  </w:style>
  <w:style w:type="paragraph" w:styleId="lfej">
    <w:name w:val="header"/>
    <w:basedOn w:val="Norml"/>
    <w:link w:val="lfejChar"/>
    <w:uiPriority w:val="99"/>
    <w:unhideWhenUsed/>
    <w:rsid w:val="00F31F5E"/>
    <w:pPr>
      <w:tabs>
        <w:tab w:val="center" w:pos="4703"/>
        <w:tab w:val="right" w:pos="9406"/>
      </w:tabs>
      <w:spacing w:after="0" w:line="240" w:lineRule="auto"/>
    </w:pPr>
  </w:style>
  <w:style w:type="character" w:customStyle="1" w:styleId="lfejChar">
    <w:name w:val="Élőfej Char"/>
    <w:basedOn w:val="Bekezdsalapbettpusa"/>
    <w:link w:val="lfej"/>
    <w:uiPriority w:val="99"/>
    <w:rsid w:val="00F31F5E"/>
  </w:style>
  <w:style w:type="paragraph" w:styleId="llb">
    <w:name w:val="footer"/>
    <w:basedOn w:val="Norml"/>
    <w:link w:val="llbChar"/>
    <w:uiPriority w:val="99"/>
    <w:unhideWhenUsed/>
    <w:rsid w:val="00F31F5E"/>
    <w:pPr>
      <w:tabs>
        <w:tab w:val="center" w:pos="4703"/>
        <w:tab w:val="right" w:pos="9406"/>
      </w:tabs>
      <w:spacing w:after="0" w:line="240" w:lineRule="auto"/>
    </w:pPr>
  </w:style>
  <w:style w:type="character" w:customStyle="1" w:styleId="llbChar">
    <w:name w:val="Élőláb Char"/>
    <w:basedOn w:val="Bekezdsalapbettpusa"/>
    <w:link w:val="llb"/>
    <w:uiPriority w:val="99"/>
    <w:rsid w:val="00F3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14782">
      <w:bodyDiv w:val="1"/>
      <w:marLeft w:val="0"/>
      <w:marRight w:val="0"/>
      <w:marTop w:val="0"/>
      <w:marBottom w:val="0"/>
      <w:divBdr>
        <w:top w:val="none" w:sz="0" w:space="0" w:color="auto"/>
        <w:left w:val="none" w:sz="0" w:space="0" w:color="auto"/>
        <w:bottom w:val="none" w:sz="0" w:space="0" w:color="auto"/>
        <w:right w:val="none" w:sz="0" w:space="0" w:color="auto"/>
      </w:divBdr>
    </w:div>
    <w:div w:id="1175076604">
      <w:bodyDiv w:val="1"/>
      <w:marLeft w:val="0"/>
      <w:marRight w:val="0"/>
      <w:marTop w:val="0"/>
      <w:marBottom w:val="0"/>
      <w:divBdr>
        <w:top w:val="none" w:sz="0" w:space="0" w:color="auto"/>
        <w:left w:val="none" w:sz="0" w:space="0" w:color="auto"/>
        <w:bottom w:val="none" w:sz="0" w:space="0" w:color="auto"/>
        <w:right w:val="none" w:sz="0" w:space="0" w:color="auto"/>
      </w:divBdr>
    </w:div>
    <w:div w:id="15261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5869-2395-4F05-9529-8F0E78FA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10122</Words>
  <Characters>57700</Characters>
  <Application>Microsoft Office Word</Application>
  <DocSecurity>0</DocSecurity>
  <Lines>480</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Ficsor</dc:creator>
  <cp:lastModifiedBy>Ficsor</cp:lastModifiedBy>
  <cp:revision>28</cp:revision>
  <dcterms:created xsi:type="dcterms:W3CDTF">2021-09-18T13:16:00Z</dcterms:created>
  <dcterms:modified xsi:type="dcterms:W3CDTF">2021-09-28T20:08:00Z</dcterms:modified>
</cp:coreProperties>
</file>